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DFD"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C5D6F99" w14:textId="77777777" w:rsidR="003F4CE2" w:rsidRDefault="003F4CE2" w:rsidP="00244CAD">
      <w:pPr>
        <w:spacing w:before="150" w:after="150"/>
        <w:rPr>
          <w:rFonts w:ascii="Arial" w:eastAsia="Times New Roman" w:hAnsi="Arial" w:cs="Arial"/>
          <w:b/>
          <w:bCs/>
          <w:color w:val="000000"/>
          <w:sz w:val="20"/>
          <w:szCs w:val="20"/>
          <w:u w:val="single"/>
          <w:lang w:eastAsia="en-G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3F4CE2" w:rsidRPr="00801717" w14:paraId="5943FC58" w14:textId="77777777" w:rsidTr="00D4417D">
        <w:tc>
          <w:tcPr>
            <w:tcW w:w="3531" w:type="dxa"/>
            <w:shd w:val="clear" w:color="auto" w:fill="D9D9D9"/>
          </w:tcPr>
          <w:p w14:paraId="278F45BB" w14:textId="77777777" w:rsidR="003F4CE2" w:rsidRPr="00801717" w:rsidRDefault="003F4CE2" w:rsidP="00D4417D">
            <w:pPr>
              <w:rPr>
                <w:rFonts w:cs="Calibri"/>
                <w:b/>
                <w:caps/>
              </w:rPr>
            </w:pPr>
            <w:r w:rsidRPr="00801717">
              <w:rPr>
                <w:rFonts w:cs="Calibri"/>
                <w:b/>
              </w:rPr>
              <w:t>Classification:</w:t>
            </w:r>
          </w:p>
        </w:tc>
        <w:tc>
          <w:tcPr>
            <w:tcW w:w="6057" w:type="dxa"/>
            <w:shd w:val="clear" w:color="auto" w:fill="auto"/>
          </w:tcPr>
          <w:p w14:paraId="3E72E83B" w14:textId="77777777" w:rsidR="003F4CE2" w:rsidRPr="00801717" w:rsidRDefault="003F4CE2" w:rsidP="00D4417D">
            <w:pPr>
              <w:rPr>
                <w:rFonts w:cs="Calibri"/>
              </w:rPr>
            </w:pPr>
            <w:r w:rsidRPr="00801717">
              <w:rPr>
                <w:rFonts w:cs="Calibri"/>
              </w:rPr>
              <w:t>Internal</w:t>
            </w:r>
          </w:p>
        </w:tc>
      </w:tr>
      <w:tr w:rsidR="003F4CE2" w:rsidRPr="00801717" w14:paraId="732AA247" w14:textId="77777777" w:rsidTr="00D4417D">
        <w:tc>
          <w:tcPr>
            <w:tcW w:w="3531" w:type="dxa"/>
            <w:shd w:val="clear" w:color="auto" w:fill="D9D9D9"/>
          </w:tcPr>
          <w:p w14:paraId="20349ECD" w14:textId="77777777" w:rsidR="003F4CE2" w:rsidRPr="00801717" w:rsidRDefault="003F4CE2" w:rsidP="00D4417D">
            <w:pPr>
              <w:rPr>
                <w:rFonts w:cs="Calibri"/>
                <w:b/>
                <w:caps/>
              </w:rPr>
            </w:pPr>
            <w:r w:rsidRPr="00801717">
              <w:rPr>
                <w:rFonts w:cs="Calibri"/>
                <w:b/>
              </w:rPr>
              <w:t>Author and Role:</w:t>
            </w:r>
          </w:p>
        </w:tc>
        <w:tc>
          <w:tcPr>
            <w:tcW w:w="6057" w:type="dxa"/>
            <w:shd w:val="clear" w:color="auto" w:fill="auto"/>
          </w:tcPr>
          <w:p w14:paraId="1DBCE85B" w14:textId="5E239231" w:rsidR="003F4CE2" w:rsidRPr="00801717" w:rsidRDefault="003F4CE2" w:rsidP="00D4417D">
            <w:pPr>
              <w:rPr>
                <w:rFonts w:cs="Calibri"/>
              </w:rPr>
            </w:pPr>
            <w:r>
              <w:rPr>
                <w:rFonts w:cs="Calibri"/>
              </w:rPr>
              <w:t xml:space="preserve">Dr Navin Kumar &amp; </w:t>
            </w:r>
            <w:r w:rsidR="00D52920">
              <w:rPr>
                <w:rFonts w:cs="Calibri"/>
              </w:rPr>
              <w:t>Jan Lenny</w:t>
            </w:r>
            <w:r>
              <w:rPr>
                <w:rFonts w:cs="Calibri"/>
              </w:rPr>
              <w:t xml:space="preserve"> Practice Manager</w:t>
            </w:r>
          </w:p>
        </w:tc>
      </w:tr>
      <w:tr w:rsidR="003F4CE2" w:rsidRPr="00801717" w14:paraId="1DB0066B" w14:textId="77777777" w:rsidTr="00D4417D">
        <w:tc>
          <w:tcPr>
            <w:tcW w:w="3531" w:type="dxa"/>
            <w:shd w:val="clear" w:color="auto" w:fill="D9D9D9"/>
          </w:tcPr>
          <w:p w14:paraId="45A078FA" w14:textId="77777777" w:rsidR="003F4CE2" w:rsidRPr="00801717" w:rsidRDefault="003F4CE2" w:rsidP="00D4417D">
            <w:pPr>
              <w:rPr>
                <w:rFonts w:cs="Calibri"/>
                <w:b/>
                <w:caps/>
              </w:rPr>
            </w:pPr>
            <w:r w:rsidRPr="00801717">
              <w:rPr>
                <w:rFonts w:cs="Calibri"/>
                <w:b/>
              </w:rPr>
              <w:t>Organisation:</w:t>
            </w:r>
          </w:p>
        </w:tc>
        <w:tc>
          <w:tcPr>
            <w:tcW w:w="6057" w:type="dxa"/>
            <w:shd w:val="clear" w:color="auto" w:fill="auto"/>
          </w:tcPr>
          <w:p w14:paraId="384DD9F9" w14:textId="77777777" w:rsidR="003F4CE2" w:rsidRPr="00801717" w:rsidRDefault="003F4CE2" w:rsidP="00D4417D">
            <w:pPr>
              <w:rPr>
                <w:rFonts w:cs="Calibri"/>
              </w:rPr>
            </w:pPr>
            <w:r w:rsidRPr="00FC2CD8">
              <w:rPr>
                <w:rFonts w:eastAsia="Calibri" w:cs="Calibri"/>
              </w:rPr>
              <w:t>Central &amp; Thorpe Surgeries</w:t>
            </w:r>
          </w:p>
        </w:tc>
      </w:tr>
      <w:tr w:rsidR="003F4CE2" w:rsidRPr="00801717" w14:paraId="1F065B5A" w14:textId="77777777" w:rsidTr="00D4417D">
        <w:tc>
          <w:tcPr>
            <w:tcW w:w="3531" w:type="dxa"/>
            <w:shd w:val="clear" w:color="auto" w:fill="D9D9D9"/>
          </w:tcPr>
          <w:p w14:paraId="04F2EC00" w14:textId="77777777" w:rsidR="003F4CE2" w:rsidRPr="00801717" w:rsidRDefault="003F4CE2" w:rsidP="00D4417D">
            <w:pPr>
              <w:rPr>
                <w:rFonts w:cs="Calibri"/>
                <w:b/>
                <w:caps/>
              </w:rPr>
            </w:pPr>
            <w:r w:rsidRPr="00801717">
              <w:rPr>
                <w:rFonts w:cs="Calibri"/>
                <w:b/>
              </w:rPr>
              <w:t>Document Reference:</w:t>
            </w:r>
          </w:p>
        </w:tc>
        <w:tc>
          <w:tcPr>
            <w:tcW w:w="6057" w:type="dxa"/>
            <w:shd w:val="clear" w:color="auto" w:fill="auto"/>
          </w:tcPr>
          <w:p w14:paraId="76546728" w14:textId="77777777" w:rsidR="003F4CE2" w:rsidRPr="00801717" w:rsidRDefault="003F4CE2" w:rsidP="00D4417D">
            <w:pPr>
              <w:rPr>
                <w:rFonts w:cs="Calibri"/>
              </w:rPr>
            </w:pPr>
            <w:r w:rsidRPr="00FC2CD8">
              <w:rPr>
                <w:rFonts w:cs="Calibri"/>
              </w:rPr>
              <w:t>Operational</w:t>
            </w:r>
            <w:r>
              <w:rPr>
                <w:rFonts w:cs="Calibri"/>
              </w:rPr>
              <w:t xml:space="preserve"> &amp; Clinical</w:t>
            </w:r>
          </w:p>
        </w:tc>
      </w:tr>
      <w:tr w:rsidR="003F4CE2" w:rsidRPr="00801717" w14:paraId="5EE66F3B" w14:textId="77777777" w:rsidTr="00D4417D">
        <w:tc>
          <w:tcPr>
            <w:tcW w:w="3531" w:type="dxa"/>
            <w:shd w:val="clear" w:color="auto" w:fill="D9D9D9"/>
          </w:tcPr>
          <w:p w14:paraId="51EB3BE0" w14:textId="77777777" w:rsidR="003F4CE2" w:rsidRPr="00801717" w:rsidRDefault="003F4CE2" w:rsidP="00D4417D">
            <w:pPr>
              <w:rPr>
                <w:rFonts w:cs="Calibri"/>
                <w:b/>
                <w:caps/>
              </w:rPr>
            </w:pPr>
            <w:r w:rsidRPr="00801717">
              <w:rPr>
                <w:rFonts w:cs="Calibri"/>
                <w:b/>
              </w:rPr>
              <w:t>Current Version Number:</w:t>
            </w:r>
          </w:p>
        </w:tc>
        <w:tc>
          <w:tcPr>
            <w:tcW w:w="6057" w:type="dxa"/>
            <w:shd w:val="clear" w:color="auto" w:fill="auto"/>
          </w:tcPr>
          <w:p w14:paraId="4864D259" w14:textId="77777777" w:rsidR="003F4CE2" w:rsidRPr="00801717" w:rsidRDefault="003F4CE2" w:rsidP="00D4417D">
            <w:pPr>
              <w:rPr>
                <w:rFonts w:cs="Calibri"/>
              </w:rPr>
            </w:pPr>
            <w:r>
              <w:rPr>
                <w:rFonts w:cs="Calibri"/>
              </w:rPr>
              <w:t>1</w:t>
            </w:r>
          </w:p>
        </w:tc>
      </w:tr>
      <w:tr w:rsidR="003F4CE2" w:rsidRPr="00801717" w14:paraId="20DE40DC" w14:textId="77777777" w:rsidTr="00D4417D">
        <w:tc>
          <w:tcPr>
            <w:tcW w:w="3531" w:type="dxa"/>
            <w:shd w:val="clear" w:color="auto" w:fill="D9D9D9"/>
          </w:tcPr>
          <w:p w14:paraId="49460E8A" w14:textId="77777777" w:rsidR="003F4CE2" w:rsidRPr="00801717" w:rsidRDefault="003F4CE2" w:rsidP="00D4417D">
            <w:pPr>
              <w:rPr>
                <w:rFonts w:cs="Calibri"/>
                <w:b/>
                <w:caps/>
              </w:rPr>
            </w:pPr>
            <w:r w:rsidRPr="00801717">
              <w:rPr>
                <w:rFonts w:cs="Calibri"/>
                <w:b/>
              </w:rPr>
              <w:t>Current Document Approved By:</w:t>
            </w:r>
          </w:p>
        </w:tc>
        <w:tc>
          <w:tcPr>
            <w:tcW w:w="6057" w:type="dxa"/>
            <w:shd w:val="clear" w:color="auto" w:fill="auto"/>
          </w:tcPr>
          <w:p w14:paraId="1FA89163" w14:textId="55C5809F" w:rsidR="003F4CE2" w:rsidRPr="00801717" w:rsidRDefault="003F4CE2" w:rsidP="00D4417D">
            <w:pPr>
              <w:rPr>
                <w:rFonts w:cs="Calibri"/>
              </w:rPr>
            </w:pPr>
            <w:r w:rsidRPr="00FC2CD8">
              <w:rPr>
                <w:rFonts w:eastAsia="Calibri" w:cs="Calibri"/>
              </w:rPr>
              <w:t xml:space="preserve">NK &amp; </w:t>
            </w:r>
            <w:r w:rsidR="00A85969">
              <w:rPr>
                <w:rFonts w:eastAsia="Calibri" w:cs="Calibri"/>
              </w:rPr>
              <w:t>JL</w:t>
            </w:r>
          </w:p>
        </w:tc>
      </w:tr>
      <w:tr w:rsidR="003F4CE2" w:rsidRPr="00801717" w14:paraId="0A9F1FFF" w14:textId="77777777" w:rsidTr="00D4417D">
        <w:tc>
          <w:tcPr>
            <w:tcW w:w="3531" w:type="dxa"/>
            <w:shd w:val="clear" w:color="auto" w:fill="D9D9D9"/>
          </w:tcPr>
          <w:p w14:paraId="096AECC0" w14:textId="77777777" w:rsidR="003F4CE2" w:rsidRPr="00801717" w:rsidRDefault="003F4CE2" w:rsidP="00D4417D">
            <w:pPr>
              <w:rPr>
                <w:rFonts w:cs="Calibri"/>
                <w:b/>
              </w:rPr>
            </w:pPr>
            <w:r w:rsidRPr="00801717">
              <w:rPr>
                <w:rFonts w:cs="Calibri"/>
                <w:b/>
              </w:rPr>
              <w:t>Date Approved:</w:t>
            </w:r>
          </w:p>
        </w:tc>
        <w:tc>
          <w:tcPr>
            <w:tcW w:w="6057" w:type="dxa"/>
            <w:shd w:val="clear" w:color="auto" w:fill="auto"/>
          </w:tcPr>
          <w:p w14:paraId="66093766" w14:textId="129AE9A9" w:rsidR="003F4CE2" w:rsidRPr="00801717" w:rsidRDefault="00D52920" w:rsidP="00D4417D">
            <w:pPr>
              <w:rPr>
                <w:rFonts w:cs="Calibri"/>
              </w:rPr>
            </w:pPr>
            <w:r>
              <w:rPr>
                <w:rFonts w:cs="Calibri"/>
              </w:rPr>
              <w:t>April</w:t>
            </w:r>
            <w:r w:rsidR="003F4CE2">
              <w:rPr>
                <w:rFonts w:cs="Calibri"/>
              </w:rPr>
              <w:t xml:space="preserve"> 202</w:t>
            </w:r>
            <w:r>
              <w:rPr>
                <w:rFonts w:cs="Calibri"/>
              </w:rPr>
              <w:t>4</w:t>
            </w:r>
          </w:p>
        </w:tc>
      </w:tr>
      <w:tr w:rsidR="003F4CE2" w:rsidRPr="00801717" w14:paraId="16BB7EC1" w14:textId="77777777" w:rsidTr="00D4417D">
        <w:tc>
          <w:tcPr>
            <w:tcW w:w="3531" w:type="dxa"/>
            <w:shd w:val="clear" w:color="auto" w:fill="D9D9D9"/>
          </w:tcPr>
          <w:p w14:paraId="159B283F" w14:textId="77777777" w:rsidR="003F4CE2" w:rsidRPr="00801717" w:rsidRDefault="003F4CE2" w:rsidP="00D4417D">
            <w:pPr>
              <w:rPr>
                <w:rFonts w:cs="Calibri"/>
                <w:b/>
              </w:rPr>
            </w:pPr>
            <w:r w:rsidRPr="00801717">
              <w:rPr>
                <w:rFonts w:cs="Calibri"/>
                <w:b/>
              </w:rPr>
              <w:t>Review Date</w:t>
            </w:r>
          </w:p>
        </w:tc>
        <w:tc>
          <w:tcPr>
            <w:tcW w:w="6057" w:type="dxa"/>
            <w:shd w:val="clear" w:color="auto" w:fill="auto"/>
          </w:tcPr>
          <w:p w14:paraId="7C63AB9C" w14:textId="519C608B" w:rsidR="003F4CE2" w:rsidRPr="00801717" w:rsidRDefault="00D52920" w:rsidP="00EF1A1F">
            <w:pPr>
              <w:rPr>
                <w:rFonts w:cs="Calibri"/>
              </w:rPr>
            </w:pPr>
            <w:r>
              <w:rPr>
                <w:rFonts w:cs="Calibri"/>
              </w:rPr>
              <w:t>April</w:t>
            </w:r>
            <w:r w:rsidR="000667E4">
              <w:rPr>
                <w:rFonts w:cs="Calibri"/>
              </w:rPr>
              <w:t xml:space="preserve"> 202</w:t>
            </w:r>
            <w:r>
              <w:rPr>
                <w:rFonts w:cs="Calibri"/>
              </w:rPr>
              <w:t>5</w:t>
            </w:r>
          </w:p>
        </w:tc>
      </w:tr>
    </w:tbl>
    <w:p w14:paraId="31FA67FD"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6E741F63"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7E507EE" w14:textId="77777777" w:rsidR="003F4CE2" w:rsidRDefault="00244CAD" w:rsidP="00244CAD">
      <w:pPr>
        <w:spacing w:before="150" w:after="150"/>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Fair Processing Notice under the </w:t>
      </w:r>
      <w:r w:rsidRPr="00244CAD">
        <w:rPr>
          <w:rFonts w:ascii="Arial" w:eastAsia="Times New Roman" w:hAnsi="Arial" w:cs="Arial"/>
          <w:b/>
          <w:bCs/>
          <w:color w:val="000000"/>
          <w:sz w:val="20"/>
          <w:szCs w:val="20"/>
          <w:u w:val="single"/>
          <w:lang w:eastAsia="en-GB"/>
        </w:rPr>
        <w:t xml:space="preserve">General Data Protection </w:t>
      </w:r>
    </w:p>
    <w:p w14:paraId="286E361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u w:val="single"/>
          <w:lang w:eastAsia="en-GB"/>
        </w:rPr>
        <w:t>Regulations</w:t>
      </w:r>
      <w:r>
        <w:rPr>
          <w:rFonts w:ascii="Arial" w:eastAsia="Times New Roman" w:hAnsi="Arial" w:cs="Arial"/>
          <w:b/>
          <w:bCs/>
          <w:color w:val="000000"/>
          <w:sz w:val="20"/>
          <w:szCs w:val="20"/>
          <w:u w:val="single"/>
          <w:lang w:eastAsia="en-GB"/>
        </w:rPr>
        <w:t xml:space="preserve"> (GDPR)</w:t>
      </w:r>
      <w:r w:rsidRPr="00244CAD">
        <w:rPr>
          <w:rFonts w:ascii="Arial" w:eastAsia="Times New Roman" w:hAnsi="Arial" w:cs="Arial"/>
          <w:b/>
          <w:bCs/>
          <w:color w:val="000000"/>
          <w:sz w:val="20"/>
          <w:szCs w:val="20"/>
          <w:u w:val="single"/>
          <w:lang w:eastAsia="en-GB"/>
        </w:rPr>
        <w:t xml:space="preserve"> 2018 (formerly </w:t>
      </w:r>
      <w:r>
        <w:rPr>
          <w:rFonts w:ascii="Arial" w:eastAsia="Times New Roman" w:hAnsi="Arial" w:cs="Arial"/>
          <w:b/>
          <w:bCs/>
          <w:color w:val="000000"/>
          <w:sz w:val="20"/>
          <w:szCs w:val="20"/>
          <w:u w:val="single"/>
          <w:lang w:eastAsia="en-GB"/>
        </w:rPr>
        <w:t xml:space="preserve">the </w:t>
      </w:r>
      <w:r w:rsidRPr="00244CAD">
        <w:rPr>
          <w:rFonts w:ascii="Arial" w:eastAsia="Times New Roman" w:hAnsi="Arial" w:cs="Arial"/>
          <w:b/>
          <w:bCs/>
          <w:color w:val="000000"/>
          <w:sz w:val="20"/>
          <w:szCs w:val="20"/>
          <w:u w:val="single"/>
          <w:lang w:eastAsia="en-GB"/>
        </w:rPr>
        <w:t>Data Protection Act 1998)</w:t>
      </w:r>
      <w:r>
        <w:rPr>
          <w:rFonts w:ascii="Arial" w:eastAsia="Times New Roman" w:hAnsi="Arial" w:cs="Arial"/>
          <w:b/>
          <w:bCs/>
          <w:color w:val="000000"/>
          <w:sz w:val="20"/>
          <w:szCs w:val="20"/>
          <w:u w:val="single"/>
          <w:lang w:eastAsia="en-GB"/>
        </w:rPr>
        <w:t xml:space="preserve"> - </w:t>
      </w:r>
      <w:r w:rsidRPr="00244CAD">
        <w:rPr>
          <w:rFonts w:ascii="Arial" w:eastAsia="Times New Roman" w:hAnsi="Arial" w:cs="Arial"/>
          <w:b/>
          <w:bCs/>
          <w:color w:val="000000"/>
          <w:sz w:val="20"/>
          <w:szCs w:val="20"/>
          <w:u w:val="single"/>
          <w:lang w:eastAsia="en-GB"/>
        </w:rPr>
        <w:t>How we use your personal information</w:t>
      </w:r>
    </w:p>
    <w:p w14:paraId="271ECBBB"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fair processing notice explains why the GP practice collects information about you and how that information may be used.</w:t>
      </w:r>
    </w:p>
    <w:p w14:paraId="637A8C90"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6F6F630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health records may be electronic, on paper or a mixture of both, and we use a combination of working practices and technology</w:t>
      </w:r>
      <w:r>
        <w:rPr>
          <w:rFonts w:ascii="Arial" w:eastAsia="Times New Roman" w:hAnsi="Arial" w:cs="Arial"/>
          <w:color w:val="000000"/>
          <w:sz w:val="20"/>
          <w:szCs w:val="20"/>
          <w:lang w:eastAsia="en-GB"/>
        </w:rPr>
        <w:t xml:space="preserve"> solutions</w:t>
      </w:r>
      <w:r w:rsidRPr="00244CAD">
        <w:rPr>
          <w:rFonts w:ascii="Arial" w:eastAsia="Times New Roman" w:hAnsi="Arial" w:cs="Arial"/>
          <w:color w:val="000000"/>
          <w:sz w:val="20"/>
          <w:szCs w:val="20"/>
          <w:lang w:eastAsia="en-GB"/>
        </w:rPr>
        <w:t xml:space="preserve"> to ensure that your information is kept confidential an</w:t>
      </w:r>
      <w:r>
        <w:rPr>
          <w:rFonts w:ascii="Arial" w:eastAsia="Times New Roman" w:hAnsi="Arial" w:cs="Arial"/>
          <w:color w:val="000000"/>
          <w:sz w:val="20"/>
          <w:szCs w:val="20"/>
          <w:lang w:eastAsia="en-GB"/>
        </w:rPr>
        <w:t xml:space="preserve">d secure. Records which this </w:t>
      </w:r>
      <w:r w:rsidRPr="00244CAD">
        <w:rPr>
          <w:rFonts w:ascii="Arial" w:eastAsia="Times New Roman" w:hAnsi="Arial" w:cs="Arial"/>
          <w:color w:val="000000"/>
          <w:sz w:val="20"/>
          <w:szCs w:val="20"/>
          <w:lang w:eastAsia="en-GB"/>
        </w:rPr>
        <w:t xml:space="preserve">Practice </w:t>
      </w:r>
      <w:r w:rsidR="008D058B" w:rsidRPr="00244CAD">
        <w:rPr>
          <w:rFonts w:ascii="Arial" w:eastAsia="Times New Roman" w:hAnsi="Arial" w:cs="Arial"/>
          <w:color w:val="000000"/>
          <w:sz w:val="20"/>
          <w:szCs w:val="20"/>
          <w:lang w:eastAsia="en-GB"/>
        </w:rPr>
        <w:t>holds</w:t>
      </w:r>
      <w:r w:rsidRPr="00244CAD">
        <w:rPr>
          <w:rFonts w:ascii="Arial" w:eastAsia="Times New Roman" w:hAnsi="Arial" w:cs="Arial"/>
          <w:color w:val="000000"/>
          <w:sz w:val="20"/>
          <w:szCs w:val="20"/>
          <w:lang w:eastAsia="en-GB"/>
        </w:rPr>
        <w:t xml:space="preserve"> about you may include the following information:</w:t>
      </w:r>
    </w:p>
    <w:p w14:paraId="1F36E0E8"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 such as your address, carer, legal representative, emergency contact details</w:t>
      </w:r>
      <w:r>
        <w:rPr>
          <w:rFonts w:ascii="Arial" w:eastAsia="Times New Roman" w:hAnsi="Arial" w:cs="Arial"/>
          <w:color w:val="000000"/>
          <w:sz w:val="20"/>
          <w:szCs w:val="20"/>
          <w:lang w:eastAsia="en-GB"/>
        </w:rPr>
        <w:t>, next of kin</w:t>
      </w:r>
    </w:p>
    <w:p w14:paraId="175EE459"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Any contact the surgery has had with you, such as appointments, </w:t>
      </w:r>
      <w:r>
        <w:rPr>
          <w:rFonts w:ascii="Arial" w:eastAsia="Times New Roman" w:hAnsi="Arial" w:cs="Arial"/>
          <w:color w:val="000000"/>
          <w:sz w:val="20"/>
          <w:szCs w:val="20"/>
          <w:lang w:eastAsia="en-GB"/>
        </w:rPr>
        <w:t xml:space="preserve">telephone, </w:t>
      </w:r>
      <w:r w:rsidR="00916557">
        <w:rPr>
          <w:rFonts w:ascii="Arial" w:eastAsia="Times New Roman" w:hAnsi="Arial" w:cs="Arial"/>
          <w:color w:val="000000"/>
          <w:sz w:val="20"/>
          <w:szCs w:val="20"/>
          <w:lang w:eastAsia="en-GB"/>
        </w:rPr>
        <w:t>letters submitted</w:t>
      </w:r>
      <w:r>
        <w:rPr>
          <w:rFonts w:ascii="Arial" w:eastAsia="Times New Roman" w:hAnsi="Arial" w:cs="Arial"/>
          <w:color w:val="000000"/>
          <w:sz w:val="20"/>
          <w:szCs w:val="20"/>
          <w:lang w:eastAsia="en-GB"/>
        </w:rPr>
        <w:t xml:space="preserve"> by you</w:t>
      </w:r>
      <w:r w:rsidRPr="00244CAD">
        <w:rPr>
          <w:rFonts w:ascii="Arial" w:eastAsia="Times New Roman" w:hAnsi="Arial" w:cs="Arial"/>
          <w:color w:val="000000"/>
          <w:sz w:val="20"/>
          <w:szCs w:val="20"/>
          <w:lang w:eastAsia="en-GB"/>
        </w:rPr>
        <w:t>, etc.</w:t>
      </w:r>
    </w:p>
    <w:p w14:paraId="2E6AE96C"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Notes and reports about your health</w:t>
      </w:r>
    </w:p>
    <w:p w14:paraId="5689ABD3"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your treatment and care</w:t>
      </w:r>
    </w:p>
    <w:p w14:paraId="7A91A473"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Results of investigations such as laboratory tests, x-rays etc.</w:t>
      </w:r>
    </w:p>
    <w:p w14:paraId="405ED812"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Relevant information from other health professionals, relatives or those who care for you</w:t>
      </w:r>
    </w:p>
    <w:p w14:paraId="119413F7"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Some of this information will be held centrally and used for statistical purposes. Where we do this, we take strict measures to ensure that individual patients cannot be identified. Sometimes your information may be requested to be used for research purposes – </w:t>
      </w:r>
      <w:r w:rsidR="00670E69">
        <w:rPr>
          <w:rFonts w:ascii="Arial" w:eastAsia="Times New Roman" w:hAnsi="Arial" w:cs="Arial"/>
          <w:color w:val="000000"/>
          <w:sz w:val="20"/>
          <w:szCs w:val="20"/>
          <w:lang w:eastAsia="en-GB"/>
        </w:rPr>
        <w:t xml:space="preserve">if this information needs to be identifiable, </w:t>
      </w:r>
      <w:r w:rsidRPr="00244CAD">
        <w:rPr>
          <w:rFonts w:ascii="Arial" w:eastAsia="Times New Roman" w:hAnsi="Arial" w:cs="Arial"/>
          <w:color w:val="000000"/>
          <w:sz w:val="20"/>
          <w:szCs w:val="20"/>
          <w:lang w:eastAsia="en-GB"/>
        </w:rPr>
        <w:t xml:space="preserve">the surgery will always gain your </w:t>
      </w:r>
      <w:r w:rsidR="00670E69">
        <w:rPr>
          <w:rFonts w:ascii="Arial" w:eastAsia="Times New Roman" w:hAnsi="Arial" w:cs="Arial"/>
          <w:color w:val="000000"/>
          <w:sz w:val="20"/>
          <w:szCs w:val="20"/>
          <w:lang w:eastAsia="en-GB"/>
        </w:rPr>
        <w:t xml:space="preserve">explicit </w:t>
      </w:r>
      <w:r w:rsidRPr="00244CAD">
        <w:rPr>
          <w:rFonts w:ascii="Arial" w:eastAsia="Times New Roman" w:hAnsi="Arial" w:cs="Arial"/>
          <w:color w:val="000000"/>
          <w:sz w:val="20"/>
          <w:szCs w:val="20"/>
          <w:lang w:eastAsia="en-GB"/>
        </w:rPr>
        <w:t>consent before releasing the information for this purpose.</w:t>
      </w:r>
    </w:p>
    <w:p w14:paraId="78CEB402"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Risk Stratification </w:t>
      </w:r>
      <w:r w:rsidRPr="00244CAD">
        <w:rPr>
          <w:rFonts w:ascii="Arial" w:eastAsia="Times New Roman" w:hAnsi="Arial" w:cs="Arial"/>
          <w:color w:val="000000"/>
          <w:sz w:val="20"/>
          <w:szCs w:val="20"/>
          <w:lang w:eastAsia="en-GB"/>
        </w:rPr>
        <w:t> </w:t>
      </w:r>
    </w:p>
    <w:p w14:paraId="2CDCA34B" w14:textId="77777777" w:rsidR="003F4CE2"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w:t>
      </w:r>
      <w:r w:rsidR="00670E69">
        <w:rPr>
          <w:rFonts w:ascii="Arial" w:eastAsia="Times New Roman" w:hAnsi="Arial" w:cs="Arial"/>
          <w:color w:val="000000"/>
          <w:sz w:val="20"/>
          <w:szCs w:val="20"/>
          <w:lang w:eastAsia="en-GB"/>
        </w:rPr>
        <w:t xml:space="preserve">anonymised </w:t>
      </w:r>
      <w:r w:rsidRPr="00244CAD">
        <w:rPr>
          <w:rFonts w:ascii="Arial" w:eastAsia="Times New Roman" w:hAnsi="Arial" w:cs="Arial"/>
          <w:color w:val="000000"/>
          <w:sz w:val="20"/>
          <w:szCs w:val="20"/>
          <w:lang w:eastAsia="en-GB"/>
        </w:rPr>
        <w:t xml:space="preserve">information using software managed by our clinical system provider, and is only provided back to your GP as data controller in an identifiable form. Risk stratification enables your GP to focus on preventing ill health and not just the treatment of sickness. If necessary your GP may be able to </w:t>
      </w:r>
    </w:p>
    <w:p w14:paraId="277143BF" w14:textId="77777777" w:rsidR="003F4CE2" w:rsidRDefault="003F4CE2" w:rsidP="00244CAD">
      <w:pPr>
        <w:spacing w:before="150" w:after="150"/>
        <w:rPr>
          <w:rFonts w:ascii="Arial" w:eastAsia="Times New Roman" w:hAnsi="Arial" w:cs="Arial"/>
          <w:color w:val="000000"/>
          <w:sz w:val="20"/>
          <w:szCs w:val="20"/>
          <w:lang w:eastAsia="en-GB"/>
        </w:rPr>
      </w:pPr>
    </w:p>
    <w:p w14:paraId="3F40C583" w14:textId="77777777" w:rsidR="003F4CE2" w:rsidRDefault="003F4CE2" w:rsidP="00244CAD">
      <w:pPr>
        <w:spacing w:before="150" w:after="150"/>
        <w:rPr>
          <w:rFonts w:ascii="Arial" w:eastAsia="Times New Roman" w:hAnsi="Arial" w:cs="Arial"/>
          <w:color w:val="000000"/>
          <w:sz w:val="20"/>
          <w:szCs w:val="20"/>
          <w:lang w:eastAsia="en-GB"/>
        </w:rPr>
      </w:pPr>
    </w:p>
    <w:p w14:paraId="32E6053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offer you additional services. Please note that you have the right to opt out of your data being used in this way.</w:t>
      </w:r>
    </w:p>
    <w:p w14:paraId="3D63B60C"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Med</w:t>
      </w:r>
      <w:r w:rsidR="00670E69">
        <w:rPr>
          <w:rFonts w:ascii="Arial" w:eastAsia="Times New Roman" w:hAnsi="Arial" w:cs="Arial"/>
          <w:b/>
          <w:bCs/>
          <w:color w:val="000000"/>
          <w:sz w:val="20"/>
          <w:szCs w:val="20"/>
          <w:lang w:eastAsia="en-GB"/>
        </w:rPr>
        <w:t>icine</w:t>
      </w:r>
      <w:r w:rsidRPr="00244CAD">
        <w:rPr>
          <w:rFonts w:ascii="Arial" w:eastAsia="Times New Roman" w:hAnsi="Arial" w:cs="Arial"/>
          <w:b/>
          <w:bCs/>
          <w:color w:val="000000"/>
          <w:sz w:val="20"/>
          <w:szCs w:val="20"/>
          <w:lang w:eastAsia="en-GB"/>
        </w:rPr>
        <w:t xml:space="preserve"> Management</w:t>
      </w:r>
    </w:p>
    <w:p w14:paraId="354BCFBD" w14:textId="77777777"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The Practice may conduct Medicines Management Reviews of medications prescribed to its patients. This service performs a review of prescribed medications to ensure patients receive the most appropriate, up to date and cost effective treatments. This service is provided</w:t>
      </w:r>
      <w:r w:rsidR="00670E69">
        <w:rPr>
          <w:rFonts w:ascii="Arial" w:eastAsia="Times New Roman" w:hAnsi="Arial" w:cs="Arial"/>
          <w:color w:val="000000"/>
          <w:sz w:val="20"/>
          <w:szCs w:val="20"/>
          <w:lang w:eastAsia="en-GB"/>
        </w:rPr>
        <w:t xml:space="preserve"> by pharmac</w:t>
      </w:r>
      <w:r w:rsidR="00916557">
        <w:rPr>
          <w:rFonts w:ascii="Arial" w:eastAsia="Times New Roman" w:hAnsi="Arial" w:cs="Arial"/>
          <w:color w:val="000000"/>
          <w:sz w:val="20"/>
          <w:szCs w:val="20"/>
          <w:lang w:eastAsia="en-GB"/>
        </w:rPr>
        <w:t>ists and Technicians employed Southend</w:t>
      </w:r>
      <w:r w:rsidRPr="00244CAD">
        <w:rPr>
          <w:rFonts w:ascii="Arial" w:eastAsia="Times New Roman" w:hAnsi="Arial" w:cs="Arial"/>
          <w:color w:val="000000"/>
          <w:sz w:val="20"/>
          <w:szCs w:val="20"/>
          <w:lang w:eastAsia="en-GB"/>
        </w:rPr>
        <w:t xml:space="preserve"> Clinical Commissioning Group.</w:t>
      </w:r>
      <w:r w:rsidR="00670E69">
        <w:rPr>
          <w:rFonts w:ascii="Arial" w:eastAsia="Times New Roman" w:hAnsi="Arial" w:cs="Arial"/>
          <w:color w:val="000000"/>
          <w:sz w:val="20"/>
          <w:szCs w:val="20"/>
          <w:lang w:eastAsia="en-GB"/>
        </w:rPr>
        <w:t xml:space="preserve"> They are bound by the same confidentiality rules as our staff are.</w:t>
      </w:r>
    </w:p>
    <w:p w14:paraId="386D5649" w14:textId="77777777" w:rsidR="00BD7563" w:rsidRPr="00244CAD" w:rsidRDefault="00BD7563" w:rsidP="00244CAD">
      <w:pPr>
        <w:spacing w:before="150" w:after="150"/>
        <w:rPr>
          <w:rFonts w:ascii="Arial" w:eastAsia="Times New Roman" w:hAnsi="Arial" w:cs="Arial"/>
          <w:color w:val="000000"/>
          <w:sz w:val="27"/>
          <w:szCs w:val="27"/>
          <w:lang w:eastAsia="en-GB"/>
        </w:rPr>
      </w:pPr>
    </w:p>
    <w:p w14:paraId="5593F31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How do we maintain the confidentiality of your records?</w:t>
      </w:r>
    </w:p>
    <w:p w14:paraId="27E127D3"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committed to protecting your privacy and will only use information collected lawfully in accordance with:</w:t>
      </w:r>
    </w:p>
    <w:p w14:paraId="03C1902A"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General Data Protection Regulations 2018 (formerly Data Protection Act 1998) </w:t>
      </w:r>
    </w:p>
    <w:p w14:paraId="33C44BD0"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Human Rights Act 1998</w:t>
      </w:r>
    </w:p>
    <w:p w14:paraId="0C9D3904"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Common Law Duty of Confidentiality</w:t>
      </w:r>
    </w:p>
    <w:p w14:paraId="06A108C0"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Act 2012</w:t>
      </w:r>
    </w:p>
    <w:p w14:paraId="6AD96D5D"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Codes of Confidentiality, Information Security and Records Management</w:t>
      </w:r>
    </w:p>
    <w:p w14:paraId="32456ACB"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Information: To Share or Not to Share Review</w:t>
      </w:r>
    </w:p>
    <w:p w14:paraId="2C1EB7B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Every member of staff who works for an NHS organisation has a legal obligation to keep information about you confidential.</w:t>
      </w:r>
      <w:r w:rsidR="00BD7563">
        <w:rPr>
          <w:rFonts w:ascii="Arial" w:eastAsia="Times New Roman" w:hAnsi="Arial" w:cs="Arial"/>
          <w:color w:val="000000"/>
          <w:sz w:val="20"/>
          <w:szCs w:val="20"/>
          <w:lang w:eastAsia="en-GB"/>
        </w:rPr>
        <w:t xml:space="preserve"> Any visitor to the premises who will or could be exposed to your identifiable information will sign a confidentiality agreement.</w:t>
      </w:r>
    </w:p>
    <w:p w14:paraId="317A3295"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14:paraId="37F34ED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are our partner organisations? </w:t>
      </w:r>
      <w:r w:rsidRPr="00244CAD">
        <w:rPr>
          <w:rFonts w:ascii="Arial" w:eastAsia="Times New Roman" w:hAnsi="Arial" w:cs="Arial"/>
          <w:color w:val="000000"/>
          <w:sz w:val="20"/>
          <w:szCs w:val="20"/>
          <w:lang w:eastAsia="en-GB"/>
        </w:rPr>
        <w:t> </w:t>
      </w:r>
    </w:p>
    <w:p w14:paraId="0C23E68C"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Trusts / Foundation Trusts</w:t>
      </w:r>
    </w:p>
    <w:p w14:paraId="58503FEE" w14:textId="77777777" w:rsidR="00271D48" w:rsidRPr="00244CAD" w:rsidRDefault="00244CAD" w:rsidP="00271D48">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GP’s</w:t>
      </w:r>
    </w:p>
    <w:p w14:paraId="19B17AB6"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Commissioning Support Units</w:t>
      </w:r>
    </w:p>
    <w:p w14:paraId="48BD4526"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Independent Contractors such as dentists, opticians, pharmacists</w:t>
      </w:r>
    </w:p>
    <w:p w14:paraId="2012A304"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14:paraId="06048CA0"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14:paraId="77938421"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Ambulance Trusts</w:t>
      </w:r>
    </w:p>
    <w:p w14:paraId="7140D40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Clinical Commissioning Groups</w:t>
      </w:r>
    </w:p>
    <w:p w14:paraId="5F1416D8"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Social Care Services</w:t>
      </w:r>
    </w:p>
    <w:p w14:paraId="20BD3CC1"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Information Centre (HSCIC)</w:t>
      </w:r>
    </w:p>
    <w:p w14:paraId="16D07B40"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Local Authorities</w:t>
      </w:r>
    </w:p>
    <w:p w14:paraId="5715167F"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Education Services</w:t>
      </w:r>
    </w:p>
    <w:p w14:paraId="5F0CF494"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Fire and Rescue Services</w:t>
      </w:r>
    </w:p>
    <w:p w14:paraId="0F0FC7E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Police &amp; Judicial Services</w:t>
      </w:r>
    </w:p>
    <w:p w14:paraId="6B75BA18"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14:paraId="1E71133F" w14:textId="77777777" w:rsidR="00244CAD" w:rsidRPr="003F4CE2"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14:paraId="72FC1A58" w14:textId="77777777" w:rsidR="003F4CE2" w:rsidRDefault="003F4CE2" w:rsidP="003F4CE2">
      <w:pPr>
        <w:spacing w:before="100" w:beforeAutospacing="1" w:after="100" w:afterAutospacing="1"/>
        <w:rPr>
          <w:rFonts w:ascii="Arial" w:eastAsia="Times New Roman" w:hAnsi="Arial" w:cs="Arial"/>
          <w:color w:val="000000"/>
          <w:sz w:val="20"/>
          <w:szCs w:val="20"/>
          <w:lang w:eastAsia="en-GB"/>
        </w:rPr>
      </w:pPr>
    </w:p>
    <w:p w14:paraId="4C8BA697" w14:textId="77777777" w:rsidR="003F4CE2" w:rsidRPr="00244CAD" w:rsidRDefault="003F4CE2" w:rsidP="003F4CE2">
      <w:pPr>
        <w:spacing w:before="100" w:beforeAutospacing="1" w:after="100" w:afterAutospacing="1"/>
        <w:rPr>
          <w:rFonts w:ascii="Arial" w:eastAsia="Times New Roman" w:hAnsi="Arial" w:cs="Arial"/>
          <w:color w:val="000000"/>
          <w:sz w:val="27"/>
          <w:szCs w:val="27"/>
          <w:lang w:eastAsia="en-GB"/>
        </w:rPr>
      </w:pPr>
    </w:p>
    <w:p w14:paraId="2482DC2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Other ‘data processors’ which you will be informed of</w:t>
      </w:r>
    </w:p>
    <w:p w14:paraId="4B4584B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be informed who your data will be shared with and in some cases asked for explicit consent for this happen when this is required. We may also use external companies to process personal information, such as for archiving purposes. These companies are bound by contractual agreements to ensure information is kept confidential and secure.  </w:t>
      </w:r>
    </w:p>
    <w:p w14:paraId="45011634" w14:textId="77777777" w:rsidR="00767BB3" w:rsidRDefault="00767BB3" w:rsidP="00244CAD">
      <w:pPr>
        <w:spacing w:before="150" w:after="150"/>
        <w:rPr>
          <w:rFonts w:ascii="Arial" w:eastAsia="Times New Roman" w:hAnsi="Arial" w:cs="Arial"/>
          <w:b/>
          <w:bCs/>
          <w:color w:val="000000"/>
          <w:sz w:val="20"/>
          <w:szCs w:val="20"/>
          <w:lang w:eastAsia="en-GB"/>
        </w:rPr>
      </w:pPr>
    </w:p>
    <w:p w14:paraId="55BDABCC" w14:textId="77777777" w:rsidR="00215003" w:rsidRDefault="00215003" w:rsidP="00244CAD">
      <w:pPr>
        <w:spacing w:before="150" w:after="15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Who are our partner software suppliers / businesses?</w:t>
      </w:r>
    </w:p>
    <w:p w14:paraId="687481F4"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We use a number of pieces of software and organisations </w:t>
      </w:r>
      <w:r w:rsidR="00B05EFD">
        <w:rPr>
          <w:rFonts w:ascii="Arial" w:eastAsia="Times New Roman" w:hAnsi="Arial" w:cs="Arial"/>
          <w:bCs/>
          <w:color w:val="000000"/>
          <w:sz w:val="20"/>
          <w:szCs w:val="20"/>
          <w:lang w:eastAsia="en-GB"/>
        </w:rPr>
        <w:t xml:space="preserve">outside of the NHS </w:t>
      </w:r>
      <w:r>
        <w:rPr>
          <w:rFonts w:ascii="Arial" w:eastAsia="Times New Roman" w:hAnsi="Arial" w:cs="Arial"/>
          <w:bCs/>
          <w:color w:val="000000"/>
          <w:sz w:val="20"/>
          <w:szCs w:val="20"/>
          <w:lang w:eastAsia="en-GB"/>
        </w:rPr>
        <w:t>to facilitate your healthcare and enable our staff to contact you. These are as follows:</w:t>
      </w:r>
    </w:p>
    <w:tbl>
      <w:tblPr>
        <w:tblStyle w:val="TableGrid"/>
        <w:tblW w:w="0" w:type="auto"/>
        <w:tblLayout w:type="fixed"/>
        <w:tblLook w:val="04A0" w:firstRow="1" w:lastRow="0" w:firstColumn="1" w:lastColumn="0" w:noHBand="0" w:noVBand="1"/>
      </w:tblPr>
      <w:tblGrid>
        <w:gridCol w:w="1242"/>
        <w:gridCol w:w="1560"/>
        <w:gridCol w:w="2976"/>
        <w:gridCol w:w="3464"/>
      </w:tblGrid>
      <w:tr w:rsidR="00215003" w:rsidRPr="00D77613" w14:paraId="5B85AF32" w14:textId="77777777" w:rsidTr="002158ED">
        <w:tc>
          <w:tcPr>
            <w:tcW w:w="1242" w:type="dxa"/>
          </w:tcPr>
          <w:p w14:paraId="58AA6D78"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Name</w:t>
            </w:r>
          </w:p>
        </w:tc>
        <w:tc>
          <w:tcPr>
            <w:tcW w:w="1560" w:type="dxa"/>
          </w:tcPr>
          <w:p w14:paraId="1D3669CA"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Description</w:t>
            </w:r>
          </w:p>
        </w:tc>
        <w:tc>
          <w:tcPr>
            <w:tcW w:w="2976" w:type="dxa"/>
          </w:tcPr>
          <w:p w14:paraId="4B853204"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Can employees of the organisation access patient information?</w:t>
            </w:r>
          </w:p>
        </w:tc>
        <w:tc>
          <w:tcPr>
            <w:tcW w:w="3464" w:type="dxa"/>
          </w:tcPr>
          <w:p w14:paraId="4FDC8FCE"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GDPR statement</w:t>
            </w:r>
          </w:p>
        </w:tc>
      </w:tr>
      <w:tr w:rsidR="00215003" w14:paraId="298B38C5" w14:textId="77777777" w:rsidTr="002158ED">
        <w:tc>
          <w:tcPr>
            <w:tcW w:w="1242" w:type="dxa"/>
          </w:tcPr>
          <w:p w14:paraId="329EF771" w14:textId="77777777" w:rsidR="00215003" w:rsidRDefault="0091655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System one</w:t>
            </w:r>
          </w:p>
        </w:tc>
        <w:tc>
          <w:tcPr>
            <w:tcW w:w="1560" w:type="dxa"/>
          </w:tcPr>
          <w:p w14:paraId="17878192"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Clinical system holds patient demographic and medical information</w:t>
            </w:r>
            <w:r w:rsidR="00E50636">
              <w:rPr>
                <w:rFonts w:ascii="Arial" w:eastAsia="Times New Roman" w:hAnsi="Arial" w:cs="Arial"/>
                <w:bCs/>
                <w:color w:val="000000"/>
                <w:sz w:val="20"/>
                <w:szCs w:val="20"/>
                <w:lang w:eastAsia="en-GB"/>
              </w:rPr>
              <w:t xml:space="preserve"> – remote server</w:t>
            </w:r>
          </w:p>
        </w:tc>
        <w:tc>
          <w:tcPr>
            <w:tcW w:w="2976" w:type="dxa"/>
          </w:tcPr>
          <w:p w14:paraId="44827782" w14:textId="77777777" w:rsidR="00215003" w:rsidRDefault="00E50636"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servers and the connection to the practice are encrypted, so </w:t>
            </w:r>
            <w:r w:rsidR="00916557">
              <w:rPr>
                <w:rFonts w:ascii="Arial" w:eastAsia="Times New Roman" w:hAnsi="Arial" w:cs="Arial"/>
                <w:bCs/>
                <w:color w:val="000000"/>
                <w:sz w:val="20"/>
                <w:szCs w:val="20"/>
                <w:lang w:eastAsia="en-GB"/>
              </w:rPr>
              <w:t>system one</w:t>
            </w:r>
            <w:r>
              <w:rPr>
                <w:rFonts w:ascii="Arial" w:eastAsia="Times New Roman" w:hAnsi="Arial" w:cs="Arial"/>
                <w:bCs/>
                <w:color w:val="000000"/>
                <w:sz w:val="20"/>
                <w:szCs w:val="20"/>
                <w:lang w:eastAsia="en-GB"/>
              </w:rPr>
              <w:t xml:space="preserve"> staff are not able to access patient information in this way. </w:t>
            </w:r>
            <w:r w:rsidR="00916557">
              <w:rPr>
                <w:rFonts w:ascii="Arial" w:eastAsia="Times New Roman" w:hAnsi="Arial" w:cs="Arial"/>
                <w:bCs/>
                <w:color w:val="000000"/>
                <w:sz w:val="20"/>
                <w:szCs w:val="20"/>
                <w:lang w:eastAsia="en-GB"/>
              </w:rPr>
              <w:t xml:space="preserve">System one </w:t>
            </w:r>
            <w:r>
              <w:rPr>
                <w:rFonts w:ascii="Arial" w:eastAsia="Times New Roman" w:hAnsi="Arial" w:cs="Arial"/>
                <w:bCs/>
                <w:color w:val="000000"/>
                <w:sz w:val="20"/>
                <w:szCs w:val="20"/>
                <w:lang w:eastAsia="en-GB"/>
              </w:rPr>
              <w:t>support staff are able to dial in remotely with the consent of our staff for problem solving.</w:t>
            </w:r>
          </w:p>
        </w:tc>
        <w:tc>
          <w:tcPr>
            <w:tcW w:w="3464" w:type="dxa"/>
          </w:tcPr>
          <w:p w14:paraId="5C2F9C47"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(only accessible with a log in</w:t>
            </w:r>
            <w:r w:rsidR="009D6CE8">
              <w:rPr>
                <w:rFonts w:ascii="Arial" w:eastAsia="Times New Roman" w:hAnsi="Arial" w:cs="Arial"/>
                <w:bCs/>
                <w:color w:val="000000"/>
                <w:sz w:val="20"/>
                <w:szCs w:val="20"/>
                <w:lang w:eastAsia="en-GB"/>
              </w:rPr>
              <w:t xml:space="preserve"> so information in Appendix 1</w:t>
            </w:r>
            <w:r>
              <w:rPr>
                <w:rFonts w:ascii="Arial" w:eastAsia="Times New Roman" w:hAnsi="Arial" w:cs="Arial"/>
                <w:bCs/>
                <w:color w:val="000000"/>
                <w:sz w:val="20"/>
                <w:szCs w:val="20"/>
                <w:lang w:eastAsia="en-GB"/>
              </w:rPr>
              <w:t>)</w:t>
            </w:r>
          </w:p>
        </w:tc>
      </w:tr>
      <w:tr w:rsidR="00215003" w14:paraId="00542C34" w14:textId="77777777" w:rsidTr="002158ED">
        <w:tc>
          <w:tcPr>
            <w:tcW w:w="1242" w:type="dxa"/>
          </w:tcPr>
          <w:p w14:paraId="5D0DA366" w14:textId="77777777" w:rsidR="00215003" w:rsidRDefault="0091655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Daisy</w:t>
            </w:r>
          </w:p>
        </w:tc>
        <w:tc>
          <w:tcPr>
            <w:tcW w:w="1560" w:type="dxa"/>
          </w:tcPr>
          <w:p w14:paraId="6F4264FB"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Telephone system – call recording onto a server located within the practice</w:t>
            </w:r>
          </w:p>
        </w:tc>
        <w:tc>
          <w:tcPr>
            <w:tcW w:w="2976" w:type="dxa"/>
          </w:tcPr>
          <w:p w14:paraId="6128E4B9" w14:textId="77777777" w:rsidR="00215003" w:rsidRDefault="00E50636"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All the recordings are physically located within the practice. Support staff from 4com are able to dial in remotely with the consent of our staff for problem solving.</w:t>
            </w:r>
          </w:p>
        </w:tc>
        <w:tc>
          <w:tcPr>
            <w:tcW w:w="3464" w:type="dxa"/>
          </w:tcPr>
          <w:p w14:paraId="78DB6AA4" w14:textId="77777777" w:rsidR="00215003" w:rsidRDefault="00A85969" w:rsidP="00244CAD">
            <w:pPr>
              <w:spacing w:before="150" w:after="150"/>
              <w:rPr>
                <w:rFonts w:ascii="Arial" w:eastAsia="Times New Roman" w:hAnsi="Arial" w:cs="Arial"/>
                <w:bCs/>
                <w:color w:val="000000"/>
                <w:sz w:val="20"/>
                <w:szCs w:val="20"/>
                <w:lang w:eastAsia="en-GB"/>
              </w:rPr>
            </w:pPr>
            <w:hyperlink r:id="rId7" w:history="1">
              <w:r w:rsidR="009D6CE8" w:rsidRPr="002C6B80">
                <w:rPr>
                  <w:rStyle w:val="Hyperlink"/>
                  <w:rFonts w:ascii="Arial" w:eastAsia="Times New Roman" w:hAnsi="Arial" w:cs="Arial"/>
                  <w:bCs/>
                  <w:sz w:val="20"/>
                  <w:szCs w:val="20"/>
                  <w:lang w:eastAsia="en-GB"/>
                </w:rPr>
                <w:t>https://www.4com.co.uk/privacy-policy/</w:t>
              </w:r>
            </w:hyperlink>
          </w:p>
          <w:p w14:paraId="149702D4" w14:textId="77777777" w:rsidR="009D6CE8" w:rsidRDefault="009D6CE8" w:rsidP="00244CAD">
            <w:pPr>
              <w:spacing w:before="150" w:after="150"/>
              <w:rPr>
                <w:rFonts w:ascii="Arial" w:eastAsia="Times New Roman" w:hAnsi="Arial" w:cs="Arial"/>
                <w:bCs/>
                <w:color w:val="000000"/>
                <w:sz w:val="20"/>
                <w:szCs w:val="20"/>
                <w:lang w:eastAsia="en-GB"/>
              </w:rPr>
            </w:pPr>
          </w:p>
        </w:tc>
      </w:tr>
      <w:tr w:rsidR="00215003" w14:paraId="20EFBCCB" w14:textId="77777777" w:rsidTr="002158ED">
        <w:tc>
          <w:tcPr>
            <w:tcW w:w="1242" w:type="dxa"/>
          </w:tcPr>
          <w:p w14:paraId="3830684F" w14:textId="77777777" w:rsidR="00215003" w:rsidRDefault="0091655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IPLATO</w:t>
            </w:r>
          </w:p>
        </w:tc>
        <w:tc>
          <w:tcPr>
            <w:tcW w:w="1560" w:type="dxa"/>
          </w:tcPr>
          <w:p w14:paraId="341E78FE" w14:textId="77777777" w:rsidR="00215003"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SMS and smart messaging system between the practice and patients.</w:t>
            </w:r>
          </w:p>
        </w:tc>
        <w:tc>
          <w:tcPr>
            <w:tcW w:w="2976" w:type="dxa"/>
          </w:tcPr>
          <w:p w14:paraId="1014656B" w14:textId="7D568449" w:rsidR="00916557" w:rsidRDefault="00916557"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IPLATO</w:t>
            </w:r>
            <w:r w:rsidR="00767BB3">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 xml:space="preserve">is provided by NHS </w:t>
            </w:r>
            <w:r w:rsidR="00C20E71">
              <w:rPr>
                <w:rFonts w:ascii="Arial" w:eastAsia="Times New Roman" w:hAnsi="Arial" w:cs="Arial"/>
                <w:bCs/>
                <w:color w:val="000000"/>
                <w:sz w:val="20"/>
                <w:szCs w:val="20"/>
                <w:lang w:eastAsia="en-GB"/>
              </w:rPr>
              <w:t xml:space="preserve">Mid and South Essex ICB </w:t>
            </w:r>
          </w:p>
          <w:p w14:paraId="798375BC" w14:textId="77777777" w:rsidR="00215003" w:rsidRDefault="009C4485"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website has an encrypted link to the patient database which is interrogated for the patient’s name and mobile number. </w:t>
            </w:r>
            <w:r w:rsidR="00916557">
              <w:rPr>
                <w:rFonts w:ascii="Arial" w:eastAsia="Times New Roman" w:hAnsi="Arial" w:cs="Arial"/>
                <w:bCs/>
                <w:color w:val="000000"/>
                <w:sz w:val="20"/>
                <w:szCs w:val="20"/>
                <w:lang w:eastAsia="en-GB"/>
              </w:rPr>
              <w:t xml:space="preserve">Iplato </w:t>
            </w:r>
            <w:r>
              <w:rPr>
                <w:rFonts w:ascii="Arial" w:eastAsia="Times New Roman" w:hAnsi="Arial" w:cs="Arial"/>
                <w:bCs/>
                <w:color w:val="000000"/>
                <w:sz w:val="20"/>
                <w:szCs w:val="20"/>
                <w:lang w:eastAsia="en-GB"/>
              </w:rPr>
              <w:t xml:space="preserve">employees would only have access to this identifiable information when troubleshooting – </w:t>
            </w:r>
          </w:p>
        </w:tc>
        <w:tc>
          <w:tcPr>
            <w:tcW w:w="3464" w:type="dxa"/>
          </w:tcPr>
          <w:p w14:paraId="4348B285" w14:textId="77777777" w:rsidR="00D77613" w:rsidRDefault="00916557" w:rsidP="00767BB3">
            <w:pPr>
              <w:spacing w:before="150" w:after="150"/>
            </w:pPr>
            <w:r>
              <w:t xml:space="preserve">NHS healthcare organisations that currently use iPLATO Connect have a clear and unambiguous ability and legal basis for sharing data with iPLATO for processing patient data to deliver healthcare services, </w:t>
            </w:r>
            <w:r w:rsidR="00767BB3">
              <w:t xml:space="preserve">under the Data Protection Act. </w:t>
            </w:r>
          </w:p>
          <w:p w14:paraId="56F570A8" w14:textId="77777777" w:rsidR="00767BB3" w:rsidRDefault="00767BB3" w:rsidP="00767BB3">
            <w:pPr>
              <w:spacing w:before="150" w:after="150"/>
              <w:rPr>
                <w:rFonts w:ascii="Arial" w:eastAsia="Times New Roman" w:hAnsi="Arial" w:cs="Arial"/>
                <w:bCs/>
                <w:color w:val="000000"/>
                <w:sz w:val="20"/>
                <w:szCs w:val="20"/>
                <w:lang w:eastAsia="en-GB"/>
              </w:rPr>
            </w:pPr>
            <w:r>
              <w:t>IPLATO Healthcare Limited</w:t>
            </w:r>
          </w:p>
        </w:tc>
      </w:tr>
      <w:tr w:rsidR="00215003" w14:paraId="475CA9FC" w14:textId="77777777" w:rsidTr="002158ED">
        <w:tc>
          <w:tcPr>
            <w:tcW w:w="1242" w:type="dxa"/>
          </w:tcPr>
          <w:p w14:paraId="282A7078"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iGPR</w:t>
            </w:r>
          </w:p>
        </w:tc>
        <w:tc>
          <w:tcPr>
            <w:tcW w:w="1560" w:type="dxa"/>
          </w:tcPr>
          <w:p w14:paraId="7F297253" w14:textId="77777777" w:rsidR="00215003" w:rsidRDefault="00CE24F4"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iGPR is a software tool that assists us with creating insurance reports.</w:t>
            </w:r>
          </w:p>
        </w:tc>
        <w:tc>
          <w:tcPr>
            <w:tcW w:w="2976" w:type="dxa"/>
          </w:tcPr>
          <w:p w14:paraId="7413C5F9" w14:textId="77777777" w:rsidR="00215003" w:rsidRDefault="009C4485" w:rsidP="00244CAD">
            <w:pPr>
              <w:spacing w:before="150" w:after="150"/>
              <w:rPr>
                <w:rFonts w:ascii="Arial" w:eastAsia="Times New Roman" w:hAnsi="Arial" w:cs="Arial"/>
                <w:bCs/>
                <w:color w:val="000000"/>
                <w:sz w:val="20"/>
                <w:szCs w:val="20"/>
                <w:lang w:eastAsia="en-GB"/>
              </w:rPr>
            </w:pPr>
            <w:r w:rsidRPr="009C4485">
              <w:rPr>
                <w:rFonts w:ascii="Arial" w:eastAsia="Times New Roman" w:hAnsi="Arial" w:cs="Arial"/>
                <w:bCs/>
                <w:color w:val="FF0000"/>
                <w:sz w:val="20"/>
                <w:szCs w:val="20"/>
                <w:lang w:eastAsia="en-GB"/>
              </w:rPr>
              <w:t>Waiting for information</w:t>
            </w:r>
          </w:p>
        </w:tc>
        <w:tc>
          <w:tcPr>
            <w:tcW w:w="3464" w:type="dxa"/>
          </w:tcPr>
          <w:p w14:paraId="359EC9FC" w14:textId="77777777" w:rsidR="00215003" w:rsidRDefault="00A85969" w:rsidP="00244CAD">
            <w:pPr>
              <w:spacing w:before="150" w:after="150"/>
            </w:pPr>
            <w:hyperlink r:id="rId8" w:history="1">
              <w:r w:rsidR="009C4485" w:rsidRPr="002C6B80">
                <w:rPr>
                  <w:rStyle w:val="Hyperlink"/>
                </w:rPr>
                <w:t>http://www.igpr.co.uk/privacy/</w:t>
              </w:r>
            </w:hyperlink>
          </w:p>
          <w:p w14:paraId="27B78B03" w14:textId="77777777" w:rsidR="009C4485" w:rsidRDefault="009C4485" w:rsidP="00244CAD">
            <w:pPr>
              <w:spacing w:before="150" w:after="150"/>
              <w:rPr>
                <w:rFonts w:ascii="Arial" w:eastAsia="Times New Roman" w:hAnsi="Arial" w:cs="Arial"/>
                <w:bCs/>
                <w:color w:val="000000"/>
                <w:sz w:val="20"/>
                <w:szCs w:val="20"/>
                <w:lang w:eastAsia="en-GB"/>
              </w:rPr>
            </w:pPr>
          </w:p>
        </w:tc>
      </w:tr>
      <w:tr w:rsidR="00B05EFD" w14:paraId="19BE5BC4" w14:textId="77777777" w:rsidTr="002158ED">
        <w:tc>
          <w:tcPr>
            <w:tcW w:w="1242" w:type="dxa"/>
          </w:tcPr>
          <w:p w14:paraId="48F215B8" w14:textId="77777777" w:rsidR="00B05EFD"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lastRenderedPageBreak/>
              <w:t>MDU / MPS / MDDUS</w:t>
            </w:r>
          </w:p>
        </w:tc>
        <w:tc>
          <w:tcPr>
            <w:tcW w:w="1560" w:type="dxa"/>
          </w:tcPr>
          <w:p w14:paraId="0A380046" w14:textId="77777777" w:rsidR="00B05EFD" w:rsidRDefault="00297C75" w:rsidP="00297C75">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Indemnity organisations </w:t>
            </w:r>
          </w:p>
        </w:tc>
        <w:tc>
          <w:tcPr>
            <w:tcW w:w="2976" w:type="dxa"/>
          </w:tcPr>
          <w:p w14:paraId="216F3B66" w14:textId="77777777" w:rsidR="00B05EFD" w:rsidRDefault="00297C75" w:rsidP="009D6CE8">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We will sometimes send by email</w:t>
            </w:r>
            <w:r w:rsidR="009D6CE8">
              <w:rPr>
                <w:rFonts w:ascii="Arial" w:eastAsia="Times New Roman" w:hAnsi="Arial" w:cs="Arial"/>
                <w:bCs/>
                <w:color w:val="000000"/>
                <w:sz w:val="20"/>
                <w:szCs w:val="20"/>
                <w:lang w:eastAsia="en-GB"/>
              </w:rPr>
              <w:t xml:space="preserve"> or discuss by phone</w:t>
            </w:r>
            <w:r>
              <w:rPr>
                <w:rFonts w:ascii="Arial" w:eastAsia="Times New Roman" w:hAnsi="Arial" w:cs="Arial"/>
                <w:bCs/>
                <w:color w:val="000000"/>
                <w:sz w:val="20"/>
                <w:szCs w:val="20"/>
                <w:lang w:eastAsia="en-GB"/>
              </w:rPr>
              <w:t xml:space="preserve"> identifiable information when the organisation is supporting a GP in a patient complaint or litigation. Information will be redacted where possible.</w:t>
            </w:r>
          </w:p>
        </w:tc>
        <w:tc>
          <w:tcPr>
            <w:tcW w:w="3464" w:type="dxa"/>
          </w:tcPr>
          <w:p w14:paraId="434673D9" w14:textId="77777777" w:rsidR="00086B4B" w:rsidRDefault="00A85969" w:rsidP="00086B4B">
            <w:hyperlink r:id="rId9" w:history="1">
              <w:r w:rsidR="00086B4B" w:rsidRPr="009D6CE8">
                <w:rPr>
                  <w:rStyle w:val="Hyperlink"/>
                  <w:rFonts w:ascii="Tahoma" w:hAnsi="Tahoma" w:cs="Tahoma"/>
                  <w:sz w:val="20"/>
                </w:rPr>
                <w:t>https://www.themdu.com/privacy-policy</w:t>
              </w:r>
            </w:hyperlink>
          </w:p>
          <w:p w14:paraId="00D723BA" w14:textId="77777777" w:rsidR="00B05EFD" w:rsidRDefault="00A85969" w:rsidP="00244CAD">
            <w:pPr>
              <w:spacing w:before="150" w:after="150"/>
              <w:rPr>
                <w:rFonts w:ascii="Arial" w:eastAsia="Times New Roman" w:hAnsi="Arial" w:cs="Arial"/>
                <w:bCs/>
                <w:color w:val="000000"/>
                <w:sz w:val="20"/>
                <w:szCs w:val="20"/>
                <w:lang w:eastAsia="en-GB"/>
              </w:rPr>
            </w:pPr>
            <w:hyperlink r:id="rId10" w:history="1">
              <w:r w:rsidR="009D6CE8" w:rsidRPr="002C6B80">
                <w:rPr>
                  <w:rStyle w:val="Hyperlink"/>
                  <w:rFonts w:ascii="Arial" w:eastAsia="Times New Roman" w:hAnsi="Arial" w:cs="Arial"/>
                  <w:bCs/>
                  <w:sz w:val="20"/>
                  <w:szCs w:val="20"/>
                  <w:lang w:eastAsia="en-GB"/>
                </w:rPr>
                <w:t>https://www.medicalprotection.org/home/privacy-cookies-policy</w:t>
              </w:r>
            </w:hyperlink>
          </w:p>
          <w:p w14:paraId="58824C84" w14:textId="77777777" w:rsidR="009D6CE8" w:rsidRDefault="00A85969" w:rsidP="009D6CE8">
            <w:pPr>
              <w:spacing w:before="150" w:after="150"/>
              <w:rPr>
                <w:rFonts w:ascii="Arial" w:eastAsia="Times New Roman" w:hAnsi="Arial" w:cs="Arial"/>
                <w:bCs/>
                <w:color w:val="000000"/>
                <w:sz w:val="20"/>
                <w:szCs w:val="20"/>
                <w:lang w:eastAsia="en-GB"/>
              </w:rPr>
            </w:pPr>
            <w:hyperlink r:id="rId11" w:history="1">
              <w:r w:rsidR="009D6CE8" w:rsidRPr="002C6B80">
                <w:rPr>
                  <w:rStyle w:val="Hyperlink"/>
                  <w:rFonts w:ascii="Arial" w:eastAsia="Times New Roman" w:hAnsi="Arial" w:cs="Arial"/>
                  <w:bCs/>
                  <w:sz w:val="20"/>
                  <w:szCs w:val="20"/>
                  <w:lang w:eastAsia="en-GB"/>
                </w:rPr>
                <w:t>https://www.mddus.com/mddus-policies/privacy-notice</w:t>
              </w:r>
            </w:hyperlink>
          </w:p>
        </w:tc>
      </w:tr>
      <w:tr w:rsidR="00B05EFD" w14:paraId="6C01ECEE" w14:textId="77777777" w:rsidTr="002158ED">
        <w:tc>
          <w:tcPr>
            <w:tcW w:w="1242" w:type="dxa"/>
          </w:tcPr>
          <w:p w14:paraId="36D33E27" w14:textId="77777777" w:rsidR="00B05EFD" w:rsidRDefault="00210881"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Health Intelligence</w:t>
            </w:r>
          </w:p>
        </w:tc>
        <w:tc>
          <w:tcPr>
            <w:tcW w:w="1560" w:type="dxa"/>
          </w:tcPr>
          <w:p w14:paraId="610430BD" w14:textId="77777777" w:rsidR="00B05EFD" w:rsidRDefault="00212E5C"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Manage recall and screening of diabetic patients for diabetic retinopathy</w:t>
            </w:r>
          </w:p>
        </w:tc>
        <w:tc>
          <w:tcPr>
            <w:tcW w:w="2976" w:type="dxa"/>
          </w:tcPr>
          <w:p w14:paraId="78CEA2F1" w14:textId="77777777" w:rsidR="00B05EFD" w:rsidRPr="00212E5C" w:rsidRDefault="00210881" w:rsidP="00210881">
            <w:pPr>
              <w:rPr>
                <w:rFonts w:ascii="Arial" w:eastAsia="Times New Roman" w:hAnsi="Arial" w:cs="Arial"/>
                <w:bCs/>
                <w:color w:val="000000"/>
                <w:sz w:val="20"/>
                <w:szCs w:val="20"/>
                <w:lang w:eastAsia="en-GB"/>
              </w:rPr>
            </w:pPr>
            <w:r>
              <w:rPr>
                <w:rFonts w:ascii="Arial" w:hAnsi="Arial" w:cs="Arial"/>
                <w:sz w:val="20"/>
              </w:rPr>
              <w:t>T</w:t>
            </w:r>
            <w:r w:rsidR="00212E5C" w:rsidRPr="00212E5C">
              <w:rPr>
                <w:rFonts w:ascii="Arial" w:hAnsi="Arial" w:cs="Arial"/>
                <w:sz w:val="20"/>
              </w:rPr>
              <w:t xml:space="preserve">he Diabetic Eye Screening Programme </w:t>
            </w:r>
            <w:r>
              <w:rPr>
                <w:rFonts w:ascii="Arial" w:hAnsi="Arial" w:cs="Arial"/>
                <w:sz w:val="20"/>
              </w:rPr>
              <w:t xml:space="preserve">is </w:t>
            </w:r>
            <w:r w:rsidR="00212E5C" w:rsidRPr="00212E5C">
              <w:rPr>
                <w:rFonts w:ascii="Arial" w:hAnsi="Arial" w:cs="Arial"/>
                <w:sz w:val="20"/>
              </w:rPr>
              <w:t xml:space="preserve">operated by Health Intelligence (commissioned by NHS England). This supports invitation for eye screening </w:t>
            </w:r>
            <w:r>
              <w:rPr>
                <w:rFonts w:ascii="Arial" w:hAnsi="Arial" w:cs="Arial"/>
                <w:sz w:val="20"/>
              </w:rPr>
              <w:t xml:space="preserve">and ongoing </w:t>
            </w:r>
            <w:r w:rsidR="00212E5C" w:rsidRPr="00212E5C">
              <w:rPr>
                <w:rFonts w:ascii="Arial" w:hAnsi="Arial" w:cs="Arial"/>
                <w:sz w:val="20"/>
              </w:rPr>
              <w:t xml:space="preserve">care. This data may be shared with any Hospital Eye Services </w:t>
            </w:r>
            <w:r>
              <w:rPr>
                <w:rFonts w:ascii="Arial" w:hAnsi="Arial" w:cs="Arial"/>
                <w:sz w:val="20"/>
              </w:rPr>
              <w:t>a patient is</w:t>
            </w:r>
            <w:r w:rsidR="00212E5C" w:rsidRPr="00212E5C">
              <w:rPr>
                <w:rFonts w:ascii="Arial" w:hAnsi="Arial" w:cs="Arial"/>
                <w:sz w:val="20"/>
              </w:rPr>
              <w:t xml:space="preserve"> under the care of to support further treatment and with other healthcare professionals involved in </w:t>
            </w:r>
            <w:r>
              <w:rPr>
                <w:rFonts w:ascii="Arial" w:hAnsi="Arial" w:cs="Arial"/>
                <w:sz w:val="20"/>
              </w:rPr>
              <w:t>patient</w:t>
            </w:r>
            <w:r w:rsidR="00212E5C" w:rsidRPr="00212E5C">
              <w:rPr>
                <w:rFonts w:ascii="Arial" w:hAnsi="Arial" w:cs="Arial"/>
                <w:sz w:val="20"/>
              </w:rPr>
              <w:t xml:space="preserve"> care</w:t>
            </w:r>
            <w:r>
              <w:rPr>
                <w:rFonts w:ascii="Arial" w:hAnsi="Arial" w:cs="Arial"/>
                <w:sz w:val="20"/>
              </w:rPr>
              <w:t>.</w:t>
            </w:r>
            <w:r w:rsidR="00212E5C" w:rsidRPr="00212E5C">
              <w:rPr>
                <w:rFonts w:ascii="Arial" w:hAnsi="Arial" w:cs="Arial"/>
                <w:sz w:val="20"/>
              </w:rPr>
              <w:t xml:space="preserve"> </w:t>
            </w:r>
          </w:p>
        </w:tc>
        <w:tc>
          <w:tcPr>
            <w:tcW w:w="3464" w:type="dxa"/>
          </w:tcPr>
          <w:p w14:paraId="2A4DE10D" w14:textId="77777777" w:rsidR="00B05EFD" w:rsidRDefault="00A85969" w:rsidP="00210881">
            <w:pPr>
              <w:rPr>
                <w:rFonts w:ascii="Arial" w:hAnsi="Arial" w:cs="Arial"/>
                <w:sz w:val="20"/>
              </w:rPr>
            </w:pPr>
            <w:hyperlink r:id="rId12" w:history="1">
              <w:r w:rsidR="00210881" w:rsidRPr="002C6B80">
                <w:rPr>
                  <w:rStyle w:val="Hyperlink"/>
                  <w:rFonts w:ascii="Arial" w:hAnsi="Arial" w:cs="Arial"/>
                  <w:sz w:val="20"/>
                </w:rPr>
                <w:t>http://www.desphiow.co.uk/diabetic-eye-screening/privacy-notice/</w:t>
              </w:r>
            </w:hyperlink>
          </w:p>
          <w:p w14:paraId="08BF7FF9" w14:textId="77777777" w:rsidR="00210881" w:rsidRDefault="00210881" w:rsidP="00210881">
            <w:pPr>
              <w:rPr>
                <w:rFonts w:ascii="Arial" w:hAnsi="Arial" w:cs="Arial"/>
                <w:sz w:val="20"/>
              </w:rPr>
            </w:pPr>
          </w:p>
          <w:p w14:paraId="359D3B8A" w14:textId="77777777" w:rsidR="00210881" w:rsidRPr="00210881" w:rsidRDefault="00210881" w:rsidP="00210881">
            <w:pPr>
              <w:rPr>
                <w:rFonts w:ascii="Arial" w:hAnsi="Arial" w:cs="Arial"/>
                <w:sz w:val="20"/>
              </w:rPr>
            </w:pPr>
          </w:p>
        </w:tc>
      </w:tr>
    </w:tbl>
    <w:p w14:paraId="20EB5176" w14:textId="77777777" w:rsidR="00215003" w:rsidRPr="00215003" w:rsidRDefault="00215003" w:rsidP="00244CAD">
      <w:pPr>
        <w:spacing w:before="150" w:after="150"/>
        <w:rPr>
          <w:rFonts w:ascii="Arial" w:eastAsia="Times New Roman" w:hAnsi="Arial" w:cs="Arial"/>
          <w:bCs/>
          <w:color w:val="000000"/>
          <w:sz w:val="20"/>
          <w:szCs w:val="20"/>
          <w:lang w:eastAsia="en-GB"/>
        </w:rPr>
      </w:pPr>
    </w:p>
    <w:p w14:paraId="7EA0DE0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Access to personal information</w:t>
      </w:r>
      <w:r w:rsidR="00215003">
        <w:rPr>
          <w:rFonts w:ascii="Arial" w:eastAsia="Times New Roman" w:hAnsi="Arial" w:cs="Arial"/>
          <w:b/>
          <w:bCs/>
          <w:color w:val="000000"/>
          <w:sz w:val="20"/>
          <w:szCs w:val="20"/>
          <w:lang w:eastAsia="en-GB"/>
        </w:rPr>
        <w:t xml:space="preserve"> / Subject Access Requests</w:t>
      </w:r>
    </w:p>
    <w:p w14:paraId="7C729B4A"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have a right under the General Data Protection Regulations 2018 to request access to view or to obtain copies of what information the surgery holds about you and to have it amended should it be inaccurate. In order to request this, you need to do the following:</w:t>
      </w:r>
    </w:p>
    <w:p w14:paraId="53BC63B0"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Your request must be made in writing to the GP</w:t>
      </w:r>
      <w:r w:rsidR="002F76AE">
        <w:rPr>
          <w:rFonts w:ascii="Arial" w:eastAsia="Times New Roman" w:hAnsi="Arial" w:cs="Arial"/>
          <w:color w:val="000000"/>
          <w:sz w:val="20"/>
          <w:szCs w:val="20"/>
          <w:lang w:eastAsia="en-GB"/>
        </w:rPr>
        <w:t>, this can be made by email or letter (note for i</w:t>
      </w:r>
      <w:r w:rsidRPr="00244CAD">
        <w:rPr>
          <w:rFonts w:ascii="Arial" w:eastAsia="Times New Roman" w:hAnsi="Arial" w:cs="Arial"/>
          <w:color w:val="000000"/>
          <w:sz w:val="20"/>
          <w:szCs w:val="20"/>
          <w:lang w:eastAsia="en-GB"/>
        </w:rPr>
        <w:t>nformation from the hospital you should write direct to them</w:t>
      </w:r>
      <w:r w:rsidR="002F76AE">
        <w:rPr>
          <w:rFonts w:ascii="Arial" w:eastAsia="Times New Roman" w:hAnsi="Arial" w:cs="Arial"/>
          <w:color w:val="000000"/>
          <w:sz w:val="20"/>
          <w:szCs w:val="20"/>
          <w:lang w:eastAsia="en-GB"/>
        </w:rPr>
        <w:t>)</w:t>
      </w:r>
    </w:p>
    <w:p w14:paraId="7D492FE0" w14:textId="77777777" w:rsidR="002F76AE" w:rsidRPr="002F76AE" w:rsidRDefault="002F76AE"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We will initially offer you online access to your Detailed Coded Record. This contains your electronic medical record</w:t>
      </w:r>
      <w:r w:rsidR="0051679C">
        <w:rPr>
          <w:rFonts w:ascii="Arial" w:eastAsia="Times New Roman" w:hAnsi="Arial" w:cs="Arial"/>
          <w:color w:val="000000"/>
          <w:sz w:val="20"/>
          <w:szCs w:val="20"/>
          <w:lang w:eastAsia="en-GB"/>
        </w:rPr>
        <w:t>, and summarised paper record. It does not contain any letters from the hospitals or other attachments on your record. The advantage of applying for access to this record is that is updates as your medical record updates, so you will always have the most current information.</w:t>
      </w:r>
    </w:p>
    <w:p w14:paraId="7BBE9583" w14:textId="77777777" w:rsidR="00244CAD" w:rsidRPr="00244CAD" w:rsidRDefault="0051679C"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 xml:space="preserve">If the Detailed Coded Record is not adequate for your needs, we will email you a copy of your medical record. If you are not able to receive an email containing your medical record, you will print a copy for you. </w:t>
      </w:r>
      <w:r w:rsidR="00244CAD" w:rsidRPr="00244CAD">
        <w:rPr>
          <w:rFonts w:ascii="Arial" w:eastAsia="Times New Roman" w:hAnsi="Arial" w:cs="Arial"/>
          <w:color w:val="000000"/>
          <w:sz w:val="20"/>
          <w:szCs w:val="20"/>
          <w:lang w:eastAsia="en-GB"/>
        </w:rPr>
        <w:t>There may be a charge to have a printed copy of the information held about you</w:t>
      </w:r>
      <w:r>
        <w:rPr>
          <w:rFonts w:ascii="Arial" w:eastAsia="Times New Roman" w:hAnsi="Arial" w:cs="Arial"/>
          <w:color w:val="000000"/>
          <w:sz w:val="20"/>
          <w:szCs w:val="20"/>
          <w:lang w:eastAsia="en-GB"/>
        </w:rPr>
        <w:t xml:space="preserve"> if the administrative burden of photocopying and printing is excessive.</w:t>
      </w:r>
    </w:p>
    <w:p w14:paraId="597ACD95"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require</w:t>
      </w:r>
      <w:r w:rsidR="002F76AE">
        <w:rPr>
          <w:rFonts w:ascii="Arial" w:eastAsia="Times New Roman" w:hAnsi="Arial" w:cs="Arial"/>
          <w:color w:val="000000"/>
          <w:sz w:val="20"/>
          <w:szCs w:val="20"/>
          <w:lang w:eastAsia="en-GB"/>
        </w:rPr>
        <w:t>d to respond to you within 2</w:t>
      </w:r>
      <w:r w:rsidRPr="00244CAD">
        <w:rPr>
          <w:rFonts w:ascii="Arial" w:eastAsia="Times New Roman" w:hAnsi="Arial" w:cs="Arial"/>
          <w:color w:val="000000"/>
          <w:sz w:val="20"/>
          <w:szCs w:val="20"/>
          <w:lang w:eastAsia="en-GB"/>
        </w:rPr>
        <w:t>0 days</w:t>
      </w:r>
    </w:p>
    <w:p w14:paraId="572DA4DE"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need to give adequate information (for example full name, address, date of birth, NHS number and details of your request) so that your identity can be verified and your records located</w:t>
      </w:r>
    </w:p>
    <w:p w14:paraId="0D1ACD6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7"/>
          <w:szCs w:val="27"/>
          <w:lang w:eastAsia="en-GB"/>
        </w:rPr>
        <w:t>Objections / Complaints</w:t>
      </w:r>
    </w:p>
    <w:p w14:paraId="584628A7"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Should you have any concerns about how your information is managed </w:t>
      </w:r>
      <w:r w:rsidR="0051679C">
        <w:rPr>
          <w:rFonts w:ascii="Arial" w:eastAsia="Times New Roman" w:hAnsi="Arial" w:cs="Arial"/>
          <w:color w:val="000000"/>
          <w:sz w:val="20"/>
          <w:szCs w:val="20"/>
          <w:lang w:eastAsia="en-GB"/>
        </w:rPr>
        <w:t>at the GP, please contact the</w:t>
      </w:r>
      <w:r w:rsidRPr="00244CAD">
        <w:rPr>
          <w:rFonts w:ascii="Arial" w:eastAsia="Times New Roman" w:hAnsi="Arial" w:cs="Arial"/>
          <w:color w:val="000000"/>
          <w:sz w:val="20"/>
          <w:szCs w:val="20"/>
          <w:lang w:eastAsia="en-GB"/>
        </w:rPr>
        <w:t xml:space="preserve"> Practice Manager</w:t>
      </w:r>
      <w:r w:rsidR="0051679C">
        <w:rPr>
          <w:rFonts w:ascii="Arial" w:eastAsia="Times New Roman" w:hAnsi="Arial" w:cs="Arial"/>
          <w:color w:val="000000"/>
          <w:sz w:val="20"/>
          <w:szCs w:val="20"/>
          <w:lang w:eastAsia="en-GB"/>
        </w:rPr>
        <w:t xml:space="preserve"> by email, telephone or letter</w:t>
      </w:r>
      <w:r w:rsidRPr="00244CAD">
        <w:rPr>
          <w:rFonts w:ascii="Arial" w:eastAsia="Times New Roman" w:hAnsi="Arial" w:cs="Arial"/>
          <w:color w:val="000000"/>
          <w:sz w:val="20"/>
          <w:szCs w:val="20"/>
          <w:lang w:eastAsia="en-GB"/>
        </w:rPr>
        <w:t>. If you are still unhappy following a review by the GP practice, you can then complain to the Information C</w:t>
      </w:r>
      <w:r w:rsidR="0051679C">
        <w:rPr>
          <w:rFonts w:ascii="Arial" w:eastAsia="Times New Roman" w:hAnsi="Arial" w:cs="Arial"/>
          <w:color w:val="000000"/>
          <w:sz w:val="20"/>
          <w:szCs w:val="20"/>
          <w:lang w:eastAsia="en-GB"/>
        </w:rPr>
        <w:t>ommissioners Office (ICO)</w:t>
      </w:r>
      <w:r w:rsidRPr="00244CAD">
        <w:rPr>
          <w:rFonts w:ascii="Arial" w:eastAsia="Times New Roman" w:hAnsi="Arial" w:cs="Arial"/>
          <w:color w:val="000000"/>
          <w:sz w:val="20"/>
          <w:szCs w:val="20"/>
          <w:lang w:eastAsia="en-GB"/>
        </w:rPr>
        <w:t xml:space="preserve"> </w:t>
      </w:r>
      <w:hyperlink r:id="rId13" w:history="1">
        <w:r w:rsidRPr="00244CAD">
          <w:rPr>
            <w:rFonts w:ascii="Arial" w:eastAsia="Times New Roman" w:hAnsi="Arial" w:cs="Arial"/>
            <w:color w:val="0000FF"/>
            <w:sz w:val="20"/>
            <w:szCs w:val="20"/>
            <w:u w:val="single"/>
            <w:lang w:eastAsia="en-GB"/>
          </w:rPr>
          <w:t>www.ico.gov.uk</w:t>
        </w:r>
      </w:hyperlink>
      <w:r w:rsidR="0051679C">
        <w:rPr>
          <w:rFonts w:ascii="Arial" w:eastAsia="Times New Roman" w:hAnsi="Arial" w:cs="Arial"/>
          <w:color w:val="000000"/>
          <w:sz w:val="20"/>
          <w:szCs w:val="20"/>
          <w:lang w:eastAsia="en-GB"/>
        </w:rPr>
        <w:t xml:space="preserve">, </w:t>
      </w:r>
      <w:r w:rsidR="0051679C" w:rsidRPr="00244CAD">
        <w:rPr>
          <w:rFonts w:ascii="Arial" w:eastAsia="Times New Roman" w:hAnsi="Arial" w:cs="Arial"/>
          <w:color w:val="000000"/>
          <w:sz w:val="20"/>
          <w:szCs w:val="20"/>
          <w:lang w:eastAsia="en-GB"/>
        </w:rPr>
        <w:t>casework@ico.org.uk, telephone: 0303 123 1113 (local rate) or 01625 545 745</w:t>
      </w:r>
      <w:r w:rsidR="0051679C">
        <w:rPr>
          <w:rFonts w:ascii="Arial" w:eastAsia="Times New Roman" w:hAnsi="Arial" w:cs="Arial"/>
          <w:color w:val="000000"/>
          <w:sz w:val="27"/>
          <w:szCs w:val="27"/>
          <w:lang w:eastAsia="en-GB"/>
        </w:rPr>
        <w:t>.</w:t>
      </w:r>
    </w:p>
    <w:p w14:paraId="169278C5" w14:textId="77777777" w:rsidR="0051679C" w:rsidRDefault="0051679C" w:rsidP="00244CAD">
      <w:pPr>
        <w:spacing w:before="150" w:after="150"/>
        <w:rPr>
          <w:rFonts w:ascii="Arial" w:eastAsia="Times New Roman" w:hAnsi="Arial" w:cs="Arial"/>
          <w:color w:val="000000"/>
          <w:sz w:val="20"/>
          <w:szCs w:val="20"/>
          <w:lang w:eastAsia="en-GB"/>
        </w:rPr>
      </w:pPr>
    </w:p>
    <w:p w14:paraId="0C2FD8D7" w14:textId="77777777" w:rsidR="003F4CE2" w:rsidRDefault="003F4CE2" w:rsidP="00244CAD">
      <w:pPr>
        <w:spacing w:before="150" w:after="150"/>
        <w:rPr>
          <w:rFonts w:ascii="Arial" w:eastAsia="Times New Roman" w:hAnsi="Arial" w:cs="Arial"/>
          <w:color w:val="000000"/>
          <w:sz w:val="20"/>
          <w:szCs w:val="20"/>
          <w:lang w:eastAsia="en-GB"/>
        </w:rPr>
      </w:pPr>
    </w:p>
    <w:p w14:paraId="229E5738" w14:textId="77777777" w:rsidR="003F4CE2" w:rsidRDefault="003F4CE2" w:rsidP="00244CAD">
      <w:pPr>
        <w:spacing w:before="150" w:after="150"/>
        <w:rPr>
          <w:rFonts w:ascii="Arial" w:eastAsia="Times New Roman" w:hAnsi="Arial" w:cs="Arial"/>
          <w:color w:val="000000"/>
          <w:sz w:val="20"/>
          <w:szCs w:val="20"/>
          <w:lang w:eastAsia="en-GB"/>
        </w:rPr>
      </w:pPr>
    </w:p>
    <w:p w14:paraId="2F84D22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If you are happy for your data to be extracted and used for the purposes described in this privacy notice then you do not need to do anything. If you have any concerns about how your data is shared then please contact the practice.</w:t>
      </w:r>
    </w:p>
    <w:p w14:paraId="157E7DE8"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Cookies  </w:t>
      </w:r>
    </w:p>
    <w:p w14:paraId="30B0E40E"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Our practice website uses cookies to function correctly. You may delete cookies at any time but doing so may result in some parts of the site not working correctly.</w:t>
      </w:r>
    </w:p>
    <w:p w14:paraId="0D29BE7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Change of Details</w:t>
      </w:r>
    </w:p>
    <w:p w14:paraId="157C7263"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623CF84F"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Notification    </w:t>
      </w:r>
    </w:p>
    <w:p w14:paraId="580EDF51"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General Data Protection Regulations 2018 requires organisations to register a notification with the Information Commissioner to describe the purposes for which they process personal and sensitive information.</w:t>
      </w:r>
    </w:p>
    <w:p w14:paraId="4D9A007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information is publicly available on the Information Commissioners Office website </w:t>
      </w:r>
      <w:hyperlink r:id="rId14" w:history="1">
        <w:r w:rsidRPr="00244CAD">
          <w:rPr>
            <w:rFonts w:ascii="Arial" w:eastAsia="Times New Roman" w:hAnsi="Arial" w:cs="Arial"/>
            <w:color w:val="0000FF"/>
            <w:sz w:val="20"/>
            <w:szCs w:val="20"/>
            <w:u w:val="single"/>
            <w:lang w:eastAsia="en-GB"/>
          </w:rPr>
          <w:t>www.ico.org.uk</w:t>
        </w:r>
      </w:hyperlink>
    </w:p>
    <w:p w14:paraId="2811A1F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practice is registered with the Information Commissioners Office (ICO).</w:t>
      </w:r>
    </w:p>
    <w:p w14:paraId="478033F0"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is the Data Controller?</w:t>
      </w:r>
    </w:p>
    <w:p w14:paraId="1C554D8A"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Data Controller, responsible for keeping your information secure and confidential is: </w:t>
      </w:r>
      <w:r w:rsidR="00767BB3">
        <w:rPr>
          <w:rFonts w:ascii="Arial" w:eastAsia="Times New Roman" w:hAnsi="Arial" w:cs="Arial"/>
          <w:color w:val="000000"/>
          <w:sz w:val="20"/>
          <w:szCs w:val="20"/>
          <w:lang w:eastAsia="en-GB"/>
        </w:rPr>
        <w:t>Central Surgery</w:t>
      </w:r>
    </w:p>
    <w:p w14:paraId="0F8C6853" w14:textId="77777777"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If you are still unhappy following a review by the Practice you can then complain to the Information Commissioners Office (ICO). </w:t>
      </w:r>
      <w:hyperlink r:id="rId15" w:history="1">
        <w:r w:rsidRPr="00244CAD">
          <w:rPr>
            <w:rFonts w:ascii="Arial" w:eastAsia="Times New Roman" w:hAnsi="Arial" w:cs="Arial"/>
            <w:b/>
            <w:bCs/>
            <w:color w:val="0000FF"/>
            <w:sz w:val="20"/>
            <w:szCs w:val="20"/>
            <w:u w:val="single"/>
            <w:lang w:eastAsia="en-GB"/>
          </w:rPr>
          <w:t>www.ico.org.uk</w:t>
        </w:r>
      </w:hyperlink>
      <w:r w:rsidRPr="00244CAD">
        <w:rPr>
          <w:rFonts w:ascii="Arial" w:eastAsia="Times New Roman" w:hAnsi="Arial" w:cs="Arial"/>
          <w:color w:val="000000"/>
          <w:sz w:val="20"/>
          <w:szCs w:val="20"/>
          <w:lang w:eastAsia="en-GB"/>
        </w:rPr>
        <w:t>, casework@ico.org.uk, telephone: 0303 123 1113 (local rate) or 01625 545 745</w:t>
      </w:r>
      <w:r w:rsidR="0051679C">
        <w:rPr>
          <w:rFonts w:ascii="Arial" w:eastAsia="Times New Roman" w:hAnsi="Arial" w:cs="Arial"/>
          <w:color w:val="000000"/>
          <w:sz w:val="20"/>
          <w:szCs w:val="20"/>
          <w:lang w:eastAsia="en-GB"/>
        </w:rPr>
        <w:t>.</w:t>
      </w:r>
    </w:p>
    <w:p w14:paraId="188AECAE" w14:textId="77777777" w:rsidR="00215003" w:rsidRPr="00215003" w:rsidRDefault="00215003" w:rsidP="00244CAD">
      <w:pPr>
        <w:spacing w:before="150" w:after="15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Who is the Data Protection Officer?</w:t>
      </w:r>
    </w:p>
    <w:p w14:paraId="24A68F5A" w14:textId="77777777" w:rsidR="00244CAD" w:rsidRPr="00244CAD" w:rsidRDefault="0051679C" w:rsidP="00244CAD">
      <w:pPr>
        <w:spacing w:before="150" w:after="150"/>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As a public authority, we have to appoint a Data Protection Officer</w:t>
      </w:r>
      <w:r w:rsidR="00215003">
        <w:rPr>
          <w:rFonts w:ascii="Arial" w:eastAsia="Times New Roman" w:hAnsi="Arial" w:cs="Arial"/>
          <w:color w:val="000000"/>
          <w:sz w:val="20"/>
          <w:szCs w:val="20"/>
          <w:lang w:eastAsia="en-GB"/>
        </w:rPr>
        <w:t xml:space="preserve"> (DPO)</w:t>
      </w:r>
      <w:r>
        <w:rPr>
          <w:rFonts w:ascii="Arial" w:eastAsia="Times New Roman" w:hAnsi="Arial" w:cs="Arial"/>
          <w:color w:val="000000"/>
          <w:sz w:val="20"/>
          <w:szCs w:val="20"/>
          <w:lang w:eastAsia="en-GB"/>
        </w:rPr>
        <w:t>. This Practice has a reciprocal arrangement with</w:t>
      </w:r>
      <w:r w:rsidR="00767BB3">
        <w:rPr>
          <w:rFonts w:ascii="Arial" w:eastAsia="Times New Roman" w:hAnsi="Arial" w:cs="Arial"/>
          <w:color w:val="000000"/>
          <w:sz w:val="20"/>
          <w:szCs w:val="20"/>
          <w:lang w:eastAsia="en-GB"/>
        </w:rPr>
        <w:t xml:space="preserve"> Southend CCG.</w:t>
      </w:r>
      <w:r w:rsidR="00244CAD" w:rsidRPr="00244CAD">
        <w:rPr>
          <w:rFonts w:ascii="Arial" w:eastAsia="Times New Roman" w:hAnsi="Arial" w:cs="Arial"/>
          <w:b/>
          <w:bCs/>
          <w:color w:val="000000"/>
          <w:sz w:val="20"/>
          <w:szCs w:val="20"/>
          <w:lang w:eastAsia="en-GB"/>
        </w:rPr>
        <w:t> </w:t>
      </w:r>
    </w:p>
    <w:p w14:paraId="24D635C1" w14:textId="77777777" w:rsidR="009D6CE8" w:rsidRDefault="009D6CE8">
      <w:r>
        <w:br w:type="page"/>
      </w:r>
    </w:p>
    <w:p w14:paraId="48D90095" w14:textId="77777777" w:rsidR="00803BAF" w:rsidRDefault="009D6CE8" w:rsidP="009C4485">
      <w:pPr>
        <w:pStyle w:val="Heading2"/>
      </w:pPr>
      <w:r>
        <w:lastRenderedPageBreak/>
        <w:t>APPENDIX 1</w:t>
      </w:r>
    </w:p>
    <w:p w14:paraId="47F83B4E" w14:textId="77777777" w:rsidR="009D6CE8" w:rsidRDefault="009D6CE8"/>
    <w:p w14:paraId="1907FDC0" w14:textId="77777777" w:rsidR="009D6CE8" w:rsidRDefault="009D6CE8" w:rsidP="009D6CE8">
      <w:pPr>
        <w:pStyle w:val="Heading1"/>
        <w:spacing w:before="0" w:beforeAutospacing="0" w:after="150" w:afterAutospacing="0" w:line="600" w:lineRule="atLeast"/>
        <w:rPr>
          <w:rFonts w:ascii="inherit" w:hAnsi="inherit"/>
          <w:b w:val="0"/>
          <w:bCs w:val="0"/>
          <w:sz w:val="45"/>
          <w:szCs w:val="45"/>
        </w:rPr>
      </w:pPr>
      <w:r>
        <w:rPr>
          <w:rFonts w:ascii="inherit" w:hAnsi="inherit"/>
          <w:b w:val="0"/>
          <w:bCs w:val="0"/>
          <w:sz w:val="45"/>
          <w:szCs w:val="45"/>
        </w:rPr>
        <w:t>GDPR (General Data Protection Regulation)</w:t>
      </w:r>
    </w:p>
    <w:p w14:paraId="629E5D21" w14:textId="77777777" w:rsidR="009D6CE8" w:rsidRDefault="009D6CE8" w:rsidP="009D6CE8">
      <w:pPr>
        <w:rPr>
          <w:rFonts w:ascii="Times New Roman" w:hAnsi="Times New Roman"/>
          <w:sz w:val="24"/>
          <w:szCs w:val="24"/>
        </w:rPr>
      </w:pPr>
      <w:r>
        <w:rPr>
          <w:rStyle w:val="posted-on"/>
          <w:color w:val="7DA036"/>
          <w:sz w:val="21"/>
          <w:szCs w:val="21"/>
        </w:rPr>
        <w:t> </w:t>
      </w:r>
    </w:p>
    <w:p w14:paraId="7067A589" w14:textId="77777777" w:rsidR="009D6CE8" w:rsidRDefault="009D6CE8" w:rsidP="009D6CE8">
      <w:pPr>
        <w:pStyle w:val="Heading2"/>
        <w:shd w:val="clear" w:color="auto" w:fill="FFFFFF"/>
        <w:spacing w:before="300" w:beforeAutospacing="0" w:after="150" w:afterAutospacing="0" w:line="450" w:lineRule="atLeast"/>
        <w:rPr>
          <w:rFonts w:ascii="inherit" w:hAnsi="inherit"/>
          <w:b w:val="0"/>
          <w:bCs w:val="0"/>
          <w:color w:val="141414"/>
          <w:sz w:val="39"/>
          <w:szCs w:val="39"/>
        </w:rPr>
      </w:pPr>
      <w:r>
        <w:rPr>
          <w:rFonts w:ascii="inherit" w:hAnsi="inherit"/>
          <w:b w:val="0"/>
          <w:bCs w:val="0"/>
          <w:color w:val="141414"/>
          <w:sz w:val="39"/>
          <w:szCs w:val="39"/>
        </w:rPr>
        <w:t>What is GDPR?</w:t>
      </w:r>
      <w:bookmarkStart w:id="0" w:name="what+is+gdpr%3f"/>
      <w:r>
        <w:rPr>
          <w:rFonts w:ascii="inherit" w:hAnsi="inherit"/>
          <w:b w:val="0"/>
          <w:bCs w:val="0"/>
          <w:color w:val="0079C1"/>
          <w:sz w:val="39"/>
          <w:szCs w:val="39"/>
        </w:rPr>
        <w:t> </w:t>
      </w:r>
      <w:bookmarkEnd w:id="0"/>
    </w:p>
    <w:p w14:paraId="53465DD9"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Each member state in the EU operates under the current 1995 data protection regulation and has its own national laws. In the UK, the current Data Protection Act 1998 sets out how your personal information can be used. </w:t>
      </w:r>
    </w:p>
    <w:p w14:paraId="4D8B2905"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General Data Protection Regulation (GDPR) changes how data can be used and is a regulation by which the European Parliament, the Council of the European Union and the European Commission intend to strengthen data protection. Companies who hold or process data need to be compliant with the GDPR regulation by 25 May 2018.</w:t>
      </w:r>
    </w:p>
    <w:p w14:paraId="6EB180D3"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Raising awareness</w:t>
      </w:r>
      <w:bookmarkStart w:id="1" w:name="raising+awareness"/>
      <w:r>
        <w:rPr>
          <w:rFonts w:ascii="inherit" w:hAnsi="inherit"/>
          <w:b w:val="0"/>
          <w:bCs w:val="0"/>
          <w:color w:val="0079C1"/>
          <w:sz w:val="33"/>
          <w:szCs w:val="33"/>
        </w:rPr>
        <w:t> </w:t>
      </w:r>
      <w:bookmarkEnd w:id="1"/>
    </w:p>
    <w:p w14:paraId="2AA820F4"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raising awareness of information governance issues across the group through: the delivery of bespoke training, training modules, use of our internal newsletters and the revised </w:t>
      </w:r>
      <w:hyperlink r:id="rId16" w:history="1">
        <w:r>
          <w:rPr>
            <w:rStyle w:val="Hyperlink"/>
            <w:rFonts w:ascii="GothamNarrowBook" w:hAnsi="GothamNarrowBook"/>
          </w:rPr>
          <w:t>IG</w:t>
        </w:r>
      </w:hyperlink>
      <w:r>
        <w:rPr>
          <w:rFonts w:ascii="GothamNarrowBook" w:hAnsi="GothamNarrowBook"/>
          <w:color w:val="141414"/>
        </w:rPr>
        <w:t> toolkit made available by </w:t>
      </w:r>
      <w:hyperlink r:id="rId17" w:history="1">
        <w:r>
          <w:rPr>
            <w:rStyle w:val="Hyperlink"/>
            <w:rFonts w:ascii="GothamNarrowBook" w:hAnsi="GothamNarrowBook"/>
          </w:rPr>
          <w:t>NHS Digital</w:t>
        </w:r>
      </w:hyperlink>
      <w:r>
        <w:rPr>
          <w:rFonts w:ascii="GothamNarrowBook" w:hAnsi="GothamNarrowBook"/>
          <w:color w:val="141414"/>
        </w:rPr>
        <w:t>.</w:t>
      </w:r>
    </w:p>
    <w:p w14:paraId="0F0505B0"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revisiting our data breach management policy, including arrangements for compulsory breach notification, so that staff know who to contact should an incident arise.</w:t>
      </w:r>
    </w:p>
    <w:p w14:paraId="4EB7EAA2"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will engage with sector specific bodies active in setting standards (e.g. the Information Governance Alliance) so that we are aware of any relevant industry codes of practice.</w:t>
      </w:r>
    </w:p>
    <w:p w14:paraId="00B11D73"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Product Development</w:t>
      </w:r>
      <w:bookmarkStart w:id="2" w:name="product+development"/>
      <w:r>
        <w:rPr>
          <w:rFonts w:ascii="inherit" w:hAnsi="inherit"/>
          <w:b w:val="0"/>
          <w:bCs w:val="0"/>
          <w:color w:val="0079C1"/>
          <w:sz w:val="33"/>
          <w:szCs w:val="33"/>
        </w:rPr>
        <w:t> </w:t>
      </w:r>
      <w:bookmarkEnd w:id="2"/>
    </w:p>
    <w:p w14:paraId="25C37B07"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engaging with our product development teams to identify those elements of the GDPR which we believe may have impact on solution design going forward.</w:t>
      </w:r>
    </w:p>
    <w:p w14:paraId="57538280"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revisiting our data protection impact assessment process to ensure that PIA’s are undertaken as required.</w:t>
      </w:r>
    </w:p>
    <w:p w14:paraId="39C24E5E"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Review Data Security</w:t>
      </w:r>
      <w:bookmarkStart w:id="3" w:name="review+data+security"/>
      <w:r>
        <w:rPr>
          <w:rFonts w:ascii="inherit" w:hAnsi="inherit"/>
          <w:b w:val="0"/>
          <w:bCs w:val="0"/>
          <w:color w:val="0079C1"/>
          <w:sz w:val="33"/>
          <w:szCs w:val="33"/>
        </w:rPr>
        <w:t> </w:t>
      </w:r>
      <w:bookmarkEnd w:id="3"/>
    </w:p>
    <w:p w14:paraId="6E45307B"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recognise the need to meet the integrity and confidentiality principles under the GDPR. Therefore we’re reviewing the below to ensure that they are fit for purpose:</w:t>
      </w:r>
    </w:p>
    <w:p w14:paraId="6F61D1B2" w14:textId="77777777" w:rsidR="003F4CE2" w:rsidRDefault="003F4CE2" w:rsidP="009D6CE8">
      <w:pPr>
        <w:pStyle w:val="NormalWeb"/>
        <w:shd w:val="clear" w:color="auto" w:fill="FFFFFF"/>
        <w:spacing w:before="0" w:beforeAutospacing="0" w:after="150" w:afterAutospacing="0" w:line="360" w:lineRule="atLeast"/>
        <w:rPr>
          <w:rFonts w:ascii="GothamNarrowBook" w:hAnsi="GothamNarrowBook"/>
          <w:color w:val="141414"/>
        </w:rPr>
      </w:pPr>
    </w:p>
    <w:p w14:paraId="16B692FA"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standards.</w:t>
      </w:r>
    </w:p>
    <w:p w14:paraId="7531374A"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breach, storage and destruction policies and management.</w:t>
      </w:r>
    </w:p>
    <w:p w14:paraId="7C23141B"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action plan.</w:t>
      </w:r>
    </w:p>
    <w:p w14:paraId="68C74452"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Data Protection Officer</w:t>
      </w:r>
      <w:bookmarkStart w:id="4" w:name="data+protection+officer"/>
      <w:r>
        <w:rPr>
          <w:rFonts w:ascii="inherit" w:hAnsi="inherit"/>
          <w:b w:val="0"/>
          <w:bCs w:val="0"/>
          <w:color w:val="0079C1"/>
          <w:sz w:val="33"/>
          <w:szCs w:val="33"/>
        </w:rPr>
        <w:t> </w:t>
      </w:r>
      <w:bookmarkEnd w:id="4"/>
    </w:p>
    <w:p w14:paraId="3F94E903" w14:textId="77777777" w:rsidR="009D6CE8" w:rsidRDefault="003F4CE2"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CCG have provided</w:t>
      </w:r>
      <w:r w:rsidR="009D6CE8">
        <w:rPr>
          <w:rFonts w:ascii="GothamNarrowBook" w:hAnsi="GothamNarrowBook"/>
          <w:color w:val="141414"/>
        </w:rPr>
        <w:t xml:space="preserve"> DPO with overall responsibility for compliance.</w:t>
      </w:r>
    </w:p>
    <w:p w14:paraId="4EBBEF28"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Policy &amp; Contract Review</w:t>
      </w:r>
      <w:bookmarkStart w:id="5" w:name="policy+%26amp%3b+contract+review"/>
      <w:r>
        <w:rPr>
          <w:rFonts w:ascii="inherit" w:hAnsi="inherit"/>
          <w:b w:val="0"/>
          <w:bCs w:val="0"/>
          <w:color w:val="0079C1"/>
          <w:sz w:val="33"/>
          <w:szCs w:val="33"/>
        </w:rPr>
        <w:t> </w:t>
      </w:r>
      <w:bookmarkEnd w:id="5"/>
    </w:p>
    <w:p w14:paraId="1AD2ADEC"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reviewing and updating the below to ensure that they are fit for purpose:</w:t>
      </w:r>
    </w:p>
    <w:p w14:paraId="1F66E8CA"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privacy related policies and procedures.</w:t>
      </w:r>
    </w:p>
    <w:p w14:paraId="49FD4DBF"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sharing agreements and process.</w:t>
      </w:r>
    </w:p>
    <w:p w14:paraId="159C735A"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Fair processing notices (privacy policies) &amp; website terms.</w:t>
      </w:r>
    </w:p>
    <w:p w14:paraId="2E020ACE" w14:textId="77777777" w:rsidR="009D6CE8" w:rsidRDefault="009D6CE8" w:rsidP="00E976E6">
      <w:pPr>
        <w:pStyle w:val="NormalWeb"/>
        <w:shd w:val="clear" w:color="auto" w:fill="FFFFFF"/>
        <w:spacing w:before="0" w:beforeAutospacing="0" w:after="150" w:afterAutospacing="0" w:line="360" w:lineRule="atLeast"/>
      </w:pPr>
      <w:r>
        <w:rPr>
          <w:rFonts w:ascii="GothamNarrowBook" w:hAnsi="GothamNarrowBook"/>
          <w:color w:val="141414"/>
        </w:rPr>
        <w:t>We will review and revise as appropriate our own terms and conditions and those put forward by our customers so that they reflect the requirements of the new regime.</w:t>
      </w:r>
    </w:p>
    <w:sectPr w:rsidR="009D6CE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924E" w14:textId="77777777" w:rsidR="00D320EF" w:rsidRDefault="00D320EF" w:rsidP="00D320EF">
      <w:r>
        <w:separator/>
      </w:r>
    </w:p>
  </w:endnote>
  <w:endnote w:type="continuationSeparator" w:id="0">
    <w:p w14:paraId="1DB16BC3" w14:textId="77777777" w:rsidR="00D320EF" w:rsidRDefault="00D320EF" w:rsidP="00D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GothamNarrowBook">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42C6" w14:textId="77777777" w:rsidR="00D320EF" w:rsidRDefault="00D320EF" w:rsidP="00D320EF">
      <w:r>
        <w:separator/>
      </w:r>
    </w:p>
  </w:footnote>
  <w:footnote w:type="continuationSeparator" w:id="0">
    <w:p w14:paraId="6EAF8495" w14:textId="77777777" w:rsidR="00D320EF" w:rsidRDefault="00D320EF" w:rsidP="00D3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4116" w14:textId="77777777" w:rsidR="003F4CE2" w:rsidRPr="00FC2CD8" w:rsidRDefault="003F4CE2" w:rsidP="003F4CE2">
    <w:pPr>
      <w:jc w:val="center"/>
      <w:outlineLvl w:val="0"/>
      <w:rPr>
        <w:rFonts w:cs="Calibri"/>
        <w:b/>
        <w:sz w:val="32"/>
        <w:szCs w:val="32"/>
      </w:rPr>
    </w:pPr>
    <w:r w:rsidRPr="003F4CE2">
      <w:rPr>
        <w:rFonts w:eastAsiaTheme="minorEastAsia"/>
        <w:b/>
        <w:noProof/>
        <w:color w:val="FF0000"/>
        <w:sz w:val="28"/>
        <w:szCs w:val="28"/>
        <w:lang w:eastAsia="en-GB"/>
      </w:rPr>
      <mc:AlternateContent>
        <mc:Choice Requires="wps">
          <w:drawing>
            <wp:anchor distT="0" distB="0" distL="114300" distR="114300" simplePos="0" relativeHeight="251661312" behindDoc="0" locked="0" layoutInCell="1" allowOverlap="1" wp14:anchorId="33C1163E" wp14:editId="117F09DD">
              <wp:simplePos x="0" y="0"/>
              <wp:positionH relativeFrom="column">
                <wp:posOffset>3802380</wp:posOffset>
              </wp:positionH>
              <wp:positionV relativeFrom="paragraph">
                <wp:posOffset>-260350</wp:posOffset>
              </wp:positionV>
              <wp:extent cx="2685415" cy="1382395"/>
              <wp:effectExtent l="0" t="0" r="0" b="0"/>
              <wp:wrapThrough wrapText="bothSides">
                <wp:wrapPolygon edited="0">
                  <wp:start x="306" y="893"/>
                  <wp:lineTo x="306" y="20538"/>
                  <wp:lineTo x="21145" y="20538"/>
                  <wp:lineTo x="21145" y="893"/>
                  <wp:lineTo x="306" y="893"/>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1D1C" w14:textId="77777777" w:rsidR="003F4CE2" w:rsidRPr="00FC2CD8" w:rsidRDefault="003F4CE2" w:rsidP="003F4CE2">
                          <w:pPr>
                            <w:kinsoku w:val="0"/>
                            <w:overflowPunct w:val="0"/>
                            <w:jc w:val="right"/>
                            <w:textAlignment w:val="baseline"/>
                            <w:rPr>
                              <w:rFonts w:ascii="Times" w:eastAsia="Yu Mincho" w:hAnsi="Times" w:cs="Times New Roman"/>
                            </w:rPr>
                          </w:pPr>
                          <w:r w:rsidRPr="00FC2CD8">
                            <w:rPr>
                              <w:rFonts w:eastAsia="MS PGothic" w:cs="Calibri"/>
                              <w:b/>
                              <w:bCs/>
                              <w:color w:val="0000FF"/>
                              <w:kern w:val="24"/>
                            </w:rPr>
                            <w:t>Central Surgery</w:t>
                          </w:r>
                        </w:p>
                        <w:p w14:paraId="4A9FADF6"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w:t>
                          </w:r>
                          <w:r w:rsidRPr="00FC2CD8">
                            <w:rPr>
                              <w:rFonts w:eastAsia="MS PGothic" w:cs="Calibri"/>
                              <w:kern w:val="24"/>
                              <w:sz w:val="18"/>
                              <w:szCs w:val="18"/>
                              <w:vertAlign w:val="superscript"/>
                            </w:rPr>
                            <w:t>st</w:t>
                          </w:r>
                          <w:r w:rsidRPr="00FC2CD8">
                            <w:rPr>
                              <w:rFonts w:eastAsia="MS PGothic" w:cs="Calibri"/>
                              <w:kern w:val="24"/>
                              <w:sz w:val="18"/>
                              <w:szCs w:val="18"/>
                            </w:rPr>
                            <w:t xml:space="preserve"> Floor, North Road Primary Care Centre</w:t>
                          </w:r>
                        </w:p>
                        <w:p w14:paraId="6AE19AB2"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183-195 North Road</w:t>
                          </w:r>
                        </w:p>
                        <w:p w14:paraId="6BF880D1"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Westcliffe-on-Sea,</w:t>
                          </w:r>
                        </w:p>
                        <w:p w14:paraId="3772D055"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Essex</w:t>
                          </w:r>
                        </w:p>
                        <w:p w14:paraId="4AAF10D7" w14:textId="77777777" w:rsidR="003F4CE2" w:rsidRPr="00FC2CD8" w:rsidRDefault="003F4CE2" w:rsidP="003F4CE2">
                          <w:pPr>
                            <w:kinsoku w:val="0"/>
                            <w:overflowPunct w:val="0"/>
                            <w:jc w:val="right"/>
                            <w:textAlignment w:val="baseline"/>
                            <w:rPr>
                              <w:rFonts w:eastAsia="Yu Mincho" w:cs="Times New Roman"/>
                              <w:sz w:val="18"/>
                              <w:szCs w:val="18"/>
                            </w:rPr>
                          </w:pPr>
                          <w:r w:rsidRPr="00FC2CD8">
                            <w:rPr>
                              <w:rFonts w:eastAsia="MS PGothic" w:cs="Calibri"/>
                              <w:kern w:val="24"/>
                              <w:sz w:val="18"/>
                              <w:szCs w:val="18"/>
                            </w:rPr>
                            <w:t>SS0 7AF</w:t>
                          </w:r>
                        </w:p>
                        <w:p w14:paraId="3925D848"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 xml:space="preserve">Tel: 01702 342 589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1163E" id="_x0000_t202" coordsize="21600,21600" o:spt="202" path="m,l,21600r21600,l21600,xe">
              <v:stroke joinstyle="miter"/>
              <v:path gradientshapeok="t" o:connecttype="rect"/>
            </v:shapetype>
            <v:shape id="Text Box 31" o:spid="_x0000_s1026" type="#_x0000_t202" style="position:absolute;left:0;text-align:left;margin-left:299.4pt;margin-top:-20.5pt;width:211.45pt;height:10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" filled="f" stroked="f">
              <v:textbox inset=",7.2pt,,7.2pt">
                <w:txbxContent>
                  <w:p w14:paraId="78AE1D1C" w14:textId="77777777" w:rsidR="003F4CE2" w:rsidRPr="00FC2CD8" w:rsidRDefault="003F4CE2" w:rsidP="003F4CE2">
                    <w:pPr>
                      <w:kinsoku w:val="0"/>
                      <w:overflowPunct w:val="0"/>
                      <w:jc w:val="right"/>
                      <w:textAlignment w:val="baseline"/>
                      <w:rPr>
                        <w:rFonts w:ascii="Times" w:eastAsia="Yu Mincho" w:hAnsi="Times" w:cs="Times New Roman"/>
                      </w:rPr>
                    </w:pPr>
                    <w:r w:rsidRPr="00FC2CD8">
                      <w:rPr>
                        <w:rFonts w:eastAsia="MS PGothic" w:cs="Calibri"/>
                        <w:b/>
                        <w:bCs/>
                        <w:color w:val="0000FF"/>
                        <w:kern w:val="24"/>
                      </w:rPr>
                      <w:t>Central Surgery</w:t>
                    </w:r>
                  </w:p>
                  <w:p w14:paraId="4A9FADF6"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w:t>
                    </w:r>
                    <w:r w:rsidRPr="00FC2CD8">
                      <w:rPr>
                        <w:rFonts w:eastAsia="MS PGothic" w:cs="Calibri"/>
                        <w:kern w:val="24"/>
                        <w:sz w:val="18"/>
                        <w:szCs w:val="18"/>
                        <w:vertAlign w:val="superscript"/>
                      </w:rPr>
                      <w:t>st</w:t>
                    </w:r>
                    <w:r w:rsidRPr="00FC2CD8">
                      <w:rPr>
                        <w:rFonts w:eastAsia="MS PGothic" w:cs="Calibri"/>
                        <w:kern w:val="24"/>
                        <w:sz w:val="18"/>
                        <w:szCs w:val="18"/>
                      </w:rPr>
                      <w:t xml:space="preserve"> Floor, North Road Primary Care Centre</w:t>
                    </w:r>
                  </w:p>
                  <w:p w14:paraId="6AE19AB2"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183-195 North Road</w:t>
                    </w:r>
                  </w:p>
                  <w:p w14:paraId="6BF880D1"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Westcliffe-on-Sea,</w:t>
                    </w:r>
                  </w:p>
                  <w:p w14:paraId="3772D055"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Essex</w:t>
                    </w:r>
                  </w:p>
                  <w:p w14:paraId="4AAF10D7" w14:textId="77777777" w:rsidR="003F4CE2" w:rsidRPr="00FC2CD8" w:rsidRDefault="003F4CE2" w:rsidP="003F4CE2">
                    <w:pPr>
                      <w:kinsoku w:val="0"/>
                      <w:overflowPunct w:val="0"/>
                      <w:jc w:val="right"/>
                      <w:textAlignment w:val="baseline"/>
                      <w:rPr>
                        <w:rFonts w:eastAsia="Yu Mincho" w:cs="Times New Roman"/>
                        <w:sz w:val="18"/>
                        <w:szCs w:val="18"/>
                      </w:rPr>
                    </w:pPr>
                    <w:r w:rsidRPr="00FC2CD8">
                      <w:rPr>
                        <w:rFonts w:eastAsia="MS PGothic" w:cs="Calibri"/>
                        <w:kern w:val="24"/>
                        <w:sz w:val="18"/>
                        <w:szCs w:val="18"/>
                      </w:rPr>
                      <w:t>SS0 7AF</w:t>
                    </w:r>
                  </w:p>
                  <w:p w14:paraId="3925D848"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 xml:space="preserve">Tel: 01702 342 589 </w:t>
                    </w:r>
                  </w:p>
                </w:txbxContent>
              </v:textbox>
              <w10:wrap type="through"/>
            </v:shape>
          </w:pict>
        </mc:Fallback>
      </mc:AlternateContent>
    </w:r>
    <w:r>
      <w:rPr>
        <w:rFonts w:cs="Calibri"/>
        <w:noProof/>
        <w:color w:val="FF0000"/>
        <w:lang w:eastAsia="en-GB"/>
      </w:rPr>
      <w:drawing>
        <wp:anchor distT="0" distB="0" distL="114300" distR="114300" simplePos="0" relativeHeight="251659264" behindDoc="1" locked="0" layoutInCell="1" allowOverlap="1" wp14:anchorId="51AA25BF" wp14:editId="0776EEA6">
          <wp:simplePos x="0" y="0"/>
          <wp:positionH relativeFrom="column">
            <wp:posOffset>-666115</wp:posOffset>
          </wp:positionH>
          <wp:positionV relativeFrom="paragraph">
            <wp:posOffset>-265430</wp:posOffset>
          </wp:positionV>
          <wp:extent cx="138112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pic:spPr>
              </pic:pic>
            </a:graphicData>
          </a:graphic>
          <wp14:sizeRelH relativeFrom="page">
            <wp14:pctWidth>0</wp14:pctWidth>
          </wp14:sizeRelH>
          <wp14:sizeRelV relativeFrom="page">
            <wp14:pctHeight>0</wp14:pctHeight>
          </wp14:sizeRelV>
        </wp:anchor>
      </w:drawing>
    </w:r>
    <w:r w:rsidRPr="00FC2CD8">
      <w:rPr>
        <w:rFonts w:cs="Calibri"/>
        <w:b/>
        <w:sz w:val="32"/>
        <w:szCs w:val="32"/>
      </w:rPr>
      <w:t>CENTRAL &amp; THORPE SURGERIES</w:t>
    </w:r>
  </w:p>
  <w:p w14:paraId="3623CA66" w14:textId="77777777" w:rsidR="00767BB3" w:rsidRPr="00767BB3" w:rsidRDefault="00767BB3" w:rsidP="003F4CE2">
    <w:pPr>
      <w:pStyle w:val="Header"/>
      <w:tabs>
        <w:tab w:val="left" w:pos="878"/>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A3F"/>
    <w:multiLevelType w:val="hybridMultilevel"/>
    <w:tmpl w:val="930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352F0"/>
    <w:multiLevelType w:val="multilevel"/>
    <w:tmpl w:val="EB5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B3D7C"/>
    <w:multiLevelType w:val="multilevel"/>
    <w:tmpl w:val="0C8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84D70"/>
    <w:multiLevelType w:val="multilevel"/>
    <w:tmpl w:val="10D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E6ABC"/>
    <w:multiLevelType w:val="multilevel"/>
    <w:tmpl w:val="01B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509DE"/>
    <w:multiLevelType w:val="multilevel"/>
    <w:tmpl w:val="6DE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F7492"/>
    <w:multiLevelType w:val="multilevel"/>
    <w:tmpl w:val="A81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E191B"/>
    <w:multiLevelType w:val="hybridMultilevel"/>
    <w:tmpl w:val="B322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833932">
    <w:abstractNumId w:val="6"/>
  </w:num>
  <w:num w:numId="2" w16cid:durableId="1947226563">
    <w:abstractNumId w:val="4"/>
  </w:num>
  <w:num w:numId="3" w16cid:durableId="1033188457">
    <w:abstractNumId w:val="5"/>
  </w:num>
  <w:num w:numId="4" w16cid:durableId="315650537">
    <w:abstractNumId w:val="1"/>
  </w:num>
  <w:num w:numId="5" w16cid:durableId="163320319">
    <w:abstractNumId w:val="2"/>
  </w:num>
  <w:num w:numId="6" w16cid:durableId="1262564141">
    <w:abstractNumId w:val="3"/>
  </w:num>
  <w:num w:numId="7" w16cid:durableId="388573031">
    <w:abstractNumId w:val="7"/>
  </w:num>
  <w:num w:numId="8" w16cid:durableId="205522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CAD"/>
    <w:rsid w:val="000234EE"/>
    <w:rsid w:val="000667E4"/>
    <w:rsid w:val="00086B4B"/>
    <w:rsid w:val="000C43A3"/>
    <w:rsid w:val="001A7FB8"/>
    <w:rsid w:val="001C3CFB"/>
    <w:rsid w:val="00210881"/>
    <w:rsid w:val="00212E5C"/>
    <w:rsid w:val="00215003"/>
    <w:rsid w:val="002158ED"/>
    <w:rsid w:val="00244CAD"/>
    <w:rsid w:val="00271D48"/>
    <w:rsid w:val="00297C75"/>
    <w:rsid w:val="002F76AE"/>
    <w:rsid w:val="003F4CE2"/>
    <w:rsid w:val="004E71F1"/>
    <w:rsid w:val="0051679C"/>
    <w:rsid w:val="005C081D"/>
    <w:rsid w:val="00670E69"/>
    <w:rsid w:val="006F3A17"/>
    <w:rsid w:val="00767BB3"/>
    <w:rsid w:val="00767F2A"/>
    <w:rsid w:val="00803BAF"/>
    <w:rsid w:val="008D058B"/>
    <w:rsid w:val="008E1087"/>
    <w:rsid w:val="00916557"/>
    <w:rsid w:val="00962D8B"/>
    <w:rsid w:val="009C4485"/>
    <w:rsid w:val="009D6CE8"/>
    <w:rsid w:val="00A85969"/>
    <w:rsid w:val="00B05EFD"/>
    <w:rsid w:val="00B826A0"/>
    <w:rsid w:val="00BD7563"/>
    <w:rsid w:val="00C20E71"/>
    <w:rsid w:val="00CC3A21"/>
    <w:rsid w:val="00CE24F4"/>
    <w:rsid w:val="00D03889"/>
    <w:rsid w:val="00D320EF"/>
    <w:rsid w:val="00D52920"/>
    <w:rsid w:val="00D5472F"/>
    <w:rsid w:val="00D72B77"/>
    <w:rsid w:val="00D77613"/>
    <w:rsid w:val="00E50636"/>
    <w:rsid w:val="00E976E6"/>
    <w:rsid w:val="00EF11F1"/>
    <w:rsid w:val="00EF1A1F"/>
    <w:rsid w:val="00F50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9CAC"/>
  <w15:docId w15:val="{B217BD40-7FC1-41F0-8AA4-344AD1FE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6CE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6C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6C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CA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4CAD"/>
    <w:rPr>
      <w:b/>
      <w:bCs/>
    </w:rPr>
  </w:style>
  <w:style w:type="character" w:styleId="Hyperlink">
    <w:name w:val="Hyperlink"/>
    <w:basedOn w:val="DefaultParagraphFont"/>
    <w:uiPriority w:val="99"/>
    <w:unhideWhenUsed/>
    <w:rsid w:val="00244CAD"/>
    <w:rPr>
      <w:color w:val="0000FF"/>
      <w:u w:val="single"/>
    </w:rPr>
  </w:style>
  <w:style w:type="table" w:styleId="TableGrid">
    <w:name w:val="Table Grid"/>
    <w:basedOn w:val="TableNormal"/>
    <w:uiPriority w:val="59"/>
    <w:rsid w:val="0021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7613"/>
    <w:rPr>
      <w:color w:val="800080" w:themeColor="followedHyperlink"/>
      <w:u w:val="single"/>
    </w:rPr>
  </w:style>
  <w:style w:type="character" w:customStyle="1" w:styleId="Heading1Char">
    <w:name w:val="Heading 1 Char"/>
    <w:basedOn w:val="DefaultParagraphFont"/>
    <w:link w:val="Heading1"/>
    <w:uiPriority w:val="9"/>
    <w:rsid w:val="009D6C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6C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6CE8"/>
    <w:rPr>
      <w:rFonts w:ascii="Times New Roman" w:eastAsia="Times New Roman" w:hAnsi="Times New Roman" w:cs="Times New Roman"/>
      <w:b/>
      <w:bCs/>
      <w:sz w:val="27"/>
      <w:szCs w:val="27"/>
      <w:lang w:eastAsia="en-GB"/>
    </w:rPr>
  </w:style>
  <w:style w:type="character" w:customStyle="1" w:styleId="posted-on">
    <w:name w:val="posted-on"/>
    <w:basedOn w:val="DefaultParagraphFont"/>
    <w:rsid w:val="009D6CE8"/>
  </w:style>
  <w:style w:type="character" w:customStyle="1" w:styleId="entry-meta-data-item">
    <w:name w:val="entry-meta-data-item"/>
    <w:basedOn w:val="DefaultParagraphFont"/>
    <w:rsid w:val="009D6CE8"/>
  </w:style>
  <w:style w:type="paragraph" w:styleId="Title">
    <w:name w:val="Title"/>
    <w:basedOn w:val="Normal"/>
    <w:link w:val="TitleChar"/>
    <w:qFormat/>
    <w:rsid w:val="009D6CE8"/>
    <w:pPr>
      <w:jc w:val="center"/>
    </w:pPr>
    <w:rPr>
      <w:rFonts w:ascii="Arial" w:eastAsia="Times New Roman" w:hAnsi="Arial" w:cs="Arial"/>
      <w:szCs w:val="24"/>
      <w:u w:val="single"/>
    </w:rPr>
  </w:style>
  <w:style w:type="character" w:customStyle="1" w:styleId="TitleChar">
    <w:name w:val="Title Char"/>
    <w:basedOn w:val="DefaultParagraphFont"/>
    <w:link w:val="Title"/>
    <w:rsid w:val="009D6CE8"/>
    <w:rPr>
      <w:rFonts w:ascii="Arial" w:eastAsia="Times New Roman" w:hAnsi="Arial" w:cs="Arial"/>
      <w:szCs w:val="24"/>
      <w:u w:val="single"/>
    </w:rPr>
  </w:style>
  <w:style w:type="paragraph" w:customStyle="1" w:styleId="Calibri">
    <w:name w:val="Calibri"/>
    <w:basedOn w:val="Normal"/>
    <w:rsid w:val="009D6C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6CE8"/>
    <w:rPr>
      <w:rFonts w:ascii="Tahoma" w:hAnsi="Tahoma" w:cs="Tahoma"/>
      <w:sz w:val="16"/>
      <w:szCs w:val="16"/>
    </w:rPr>
  </w:style>
  <w:style w:type="character" w:customStyle="1" w:styleId="BalloonTextChar">
    <w:name w:val="Balloon Text Char"/>
    <w:basedOn w:val="DefaultParagraphFont"/>
    <w:link w:val="BalloonText"/>
    <w:uiPriority w:val="99"/>
    <w:semiHidden/>
    <w:rsid w:val="009D6CE8"/>
    <w:rPr>
      <w:rFonts w:ascii="Tahoma" w:hAnsi="Tahoma" w:cs="Tahoma"/>
      <w:sz w:val="16"/>
      <w:szCs w:val="16"/>
    </w:rPr>
  </w:style>
  <w:style w:type="paragraph" w:styleId="Header">
    <w:name w:val="header"/>
    <w:basedOn w:val="Normal"/>
    <w:link w:val="HeaderChar"/>
    <w:uiPriority w:val="99"/>
    <w:unhideWhenUsed/>
    <w:rsid w:val="00D320EF"/>
    <w:pPr>
      <w:tabs>
        <w:tab w:val="center" w:pos="4513"/>
        <w:tab w:val="right" w:pos="9026"/>
      </w:tabs>
    </w:pPr>
  </w:style>
  <w:style w:type="character" w:customStyle="1" w:styleId="HeaderChar">
    <w:name w:val="Header Char"/>
    <w:basedOn w:val="DefaultParagraphFont"/>
    <w:link w:val="Header"/>
    <w:uiPriority w:val="99"/>
    <w:rsid w:val="00D320EF"/>
  </w:style>
  <w:style w:type="paragraph" w:styleId="Footer">
    <w:name w:val="footer"/>
    <w:basedOn w:val="Normal"/>
    <w:link w:val="FooterChar"/>
    <w:uiPriority w:val="99"/>
    <w:unhideWhenUsed/>
    <w:rsid w:val="00D320EF"/>
    <w:pPr>
      <w:tabs>
        <w:tab w:val="center" w:pos="4513"/>
        <w:tab w:val="right" w:pos="9026"/>
      </w:tabs>
    </w:pPr>
  </w:style>
  <w:style w:type="character" w:customStyle="1" w:styleId="FooterChar">
    <w:name w:val="Footer Char"/>
    <w:basedOn w:val="DefaultParagraphFont"/>
    <w:link w:val="Footer"/>
    <w:uiPriority w:val="99"/>
    <w:rsid w:val="00D3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1377">
      <w:bodyDiv w:val="1"/>
      <w:marLeft w:val="0"/>
      <w:marRight w:val="0"/>
      <w:marTop w:val="0"/>
      <w:marBottom w:val="0"/>
      <w:divBdr>
        <w:top w:val="none" w:sz="0" w:space="0" w:color="auto"/>
        <w:left w:val="none" w:sz="0" w:space="0" w:color="auto"/>
        <w:bottom w:val="none" w:sz="0" w:space="0" w:color="auto"/>
        <w:right w:val="none" w:sz="0" w:space="0" w:color="auto"/>
      </w:divBdr>
    </w:div>
    <w:div w:id="1461069691">
      <w:bodyDiv w:val="1"/>
      <w:marLeft w:val="0"/>
      <w:marRight w:val="0"/>
      <w:marTop w:val="0"/>
      <w:marBottom w:val="0"/>
      <w:divBdr>
        <w:top w:val="none" w:sz="0" w:space="0" w:color="auto"/>
        <w:left w:val="none" w:sz="0" w:space="0" w:color="auto"/>
        <w:bottom w:val="none" w:sz="0" w:space="0" w:color="auto"/>
        <w:right w:val="none" w:sz="0" w:space="0" w:color="auto"/>
      </w:divBdr>
    </w:div>
    <w:div w:id="1704479173">
      <w:bodyDiv w:val="1"/>
      <w:marLeft w:val="0"/>
      <w:marRight w:val="0"/>
      <w:marTop w:val="0"/>
      <w:marBottom w:val="0"/>
      <w:divBdr>
        <w:top w:val="none" w:sz="0" w:space="0" w:color="auto"/>
        <w:left w:val="none" w:sz="0" w:space="0" w:color="auto"/>
        <w:bottom w:val="none" w:sz="0" w:space="0" w:color="auto"/>
        <w:right w:val="none" w:sz="0" w:space="0" w:color="auto"/>
      </w:divBdr>
    </w:div>
    <w:div w:id="1828782337">
      <w:bodyDiv w:val="1"/>
      <w:marLeft w:val="0"/>
      <w:marRight w:val="0"/>
      <w:marTop w:val="0"/>
      <w:marBottom w:val="0"/>
      <w:divBdr>
        <w:top w:val="none" w:sz="0" w:space="0" w:color="auto"/>
        <w:left w:val="none" w:sz="0" w:space="0" w:color="auto"/>
        <w:bottom w:val="none" w:sz="0" w:space="0" w:color="auto"/>
        <w:right w:val="none" w:sz="0" w:space="0" w:color="auto"/>
      </w:divBdr>
      <w:divsChild>
        <w:div w:id="956907503">
          <w:marLeft w:val="0"/>
          <w:marRight w:val="0"/>
          <w:marTop w:val="0"/>
          <w:marBottom w:val="0"/>
          <w:divBdr>
            <w:top w:val="none" w:sz="0" w:space="0" w:color="auto"/>
            <w:left w:val="none" w:sz="0" w:space="0" w:color="auto"/>
            <w:bottom w:val="none" w:sz="0" w:space="0" w:color="auto"/>
            <w:right w:val="none" w:sz="0" w:space="0" w:color="auto"/>
          </w:divBdr>
        </w:div>
        <w:div w:id="17727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pr.co.uk/privacy/" TargetMode="External"/><Relationship Id="rId13" Type="http://schemas.openxmlformats.org/officeDocument/2006/relationships/hyperlink" Target="http://www.ico.gov.uk/"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4com.co.uk/privacy-policy/" TargetMode="External"/><Relationship Id="rId12" Type="http://schemas.openxmlformats.org/officeDocument/2006/relationships/hyperlink" Target="http://www.desphiow.co.uk/diabetic-eye-screening/privacy-notice/" TargetMode="External"/><Relationship Id="rId17" Type="http://schemas.openxmlformats.org/officeDocument/2006/relationships/hyperlink" Target="https://supportcentre.emishealth.com/glossary/nhs-digital/" TargetMode="External"/><Relationship Id="rId2" Type="http://schemas.openxmlformats.org/officeDocument/2006/relationships/styles" Target="styles.xml"/><Relationship Id="rId16" Type="http://schemas.openxmlformats.org/officeDocument/2006/relationships/hyperlink" Target="https://supportcentre.emishealth.com/glossary/i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dus.com/mddus-policies/privacy-notice"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yperlink" Target="https://www.medicalprotection.org/home/privacy-cookie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mdu.com/privacy-policy"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LENNY, Jan (DR NAVIN KUMAR)</cp:lastModifiedBy>
  <cp:revision>5</cp:revision>
  <cp:lastPrinted>2022-07-28T13:45:00Z</cp:lastPrinted>
  <dcterms:created xsi:type="dcterms:W3CDTF">2022-10-20T11:56:00Z</dcterms:created>
  <dcterms:modified xsi:type="dcterms:W3CDTF">2024-07-03T08:01:00Z</dcterms:modified>
</cp:coreProperties>
</file>